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33" w:type="dxa"/>
        <w:jc w:val="center"/>
        <w:tblInd w:w="86" w:type="dxa"/>
        <w:tblLook w:val="04A0" w:firstRow="1" w:lastRow="0" w:firstColumn="1" w:lastColumn="0" w:noHBand="0" w:noVBand="1"/>
      </w:tblPr>
      <w:tblGrid>
        <w:gridCol w:w="1037"/>
        <w:gridCol w:w="7296"/>
      </w:tblGrid>
      <w:tr w:rsidR="001D6E64" w:rsidTr="00522B35">
        <w:trPr>
          <w:trHeight w:val="810"/>
          <w:jc w:val="center"/>
        </w:trPr>
        <w:tc>
          <w:tcPr>
            <w:tcW w:w="8333" w:type="dxa"/>
            <w:gridSpan w:val="2"/>
            <w:tcBorders>
              <w:bottom w:val="nil"/>
            </w:tcBorders>
            <w:noWrap/>
            <w:vAlign w:val="center"/>
            <w:hideMark/>
          </w:tcPr>
          <w:p w:rsidR="001D6E64" w:rsidRDefault="001D6E64" w:rsidP="00711E2B">
            <w:pPr>
              <w:widowControl/>
              <w:spacing w:beforeLines="100" w:before="312"/>
              <w:jc w:val="center"/>
              <w:rPr>
                <w:rFonts w:ascii="宋体" w:hAnsi="宋体" w:cs="宋体"/>
                <w:b/>
                <w:bCs/>
                <w:color w:val="000000"/>
                <w:kern w:val="0"/>
                <w:sz w:val="32"/>
                <w:szCs w:val="32"/>
              </w:rPr>
            </w:pPr>
            <w:r w:rsidRPr="00711E2B">
              <w:rPr>
                <w:rFonts w:ascii="宋体" w:hAnsi="宋体" w:cs="宋体" w:hint="eastAsia"/>
                <w:b/>
                <w:bCs/>
                <w:color w:val="000000"/>
                <w:kern w:val="0"/>
                <w:sz w:val="36"/>
                <w:szCs w:val="32"/>
              </w:rPr>
              <w:t>第十</w:t>
            </w:r>
            <w:r w:rsidR="00522B35" w:rsidRPr="00711E2B">
              <w:rPr>
                <w:rFonts w:ascii="宋体" w:hAnsi="宋体" w:cs="宋体" w:hint="eastAsia"/>
                <w:b/>
                <w:bCs/>
                <w:color w:val="000000"/>
                <w:kern w:val="0"/>
                <w:sz w:val="36"/>
                <w:szCs w:val="32"/>
              </w:rPr>
              <w:t>二</w:t>
            </w:r>
            <w:r w:rsidRPr="00711E2B">
              <w:rPr>
                <w:rFonts w:ascii="宋体" w:hAnsi="宋体" w:cs="宋体" w:hint="eastAsia"/>
                <w:b/>
                <w:bCs/>
                <w:color w:val="000000"/>
                <w:kern w:val="0"/>
                <w:sz w:val="36"/>
                <w:szCs w:val="32"/>
              </w:rPr>
              <w:t>届中国法学青年论坛主题征文入围终评名单</w:t>
            </w:r>
          </w:p>
        </w:tc>
      </w:tr>
      <w:tr w:rsidR="001D6E64" w:rsidTr="00522B35">
        <w:trPr>
          <w:trHeight w:val="702"/>
          <w:jc w:val="center"/>
        </w:trPr>
        <w:tc>
          <w:tcPr>
            <w:tcW w:w="8333" w:type="dxa"/>
            <w:gridSpan w:val="2"/>
            <w:tcBorders>
              <w:top w:val="nil"/>
              <w:bottom w:val="single" w:sz="4" w:space="0" w:color="auto"/>
            </w:tcBorders>
            <w:noWrap/>
            <w:vAlign w:val="center"/>
            <w:hideMark/>
          </w:tcPr>
          <w:p w:rsidR="001D6E64" w:rsidRPr="00711E2B" w:rsidRDefault="001D6E64" w:rsidP="00711E2B">
            <w:pPr>
              <w:widowControl/>
              <w:spacing w:afterLines="100" w:after="312"/>
              <w:jc w:val="center"/>
              <w:rPr>
                <w:rFonts w:ascii="楷体" w:eastAsia="楷体" w:hAnsi="楷体" w:cs="宋体"/>
                <w:b/>
                <w:bCs/>
                <w:color w:val="000000"/>
                <w:kern w:val="0"/>
                <w:sz w:val="30"/>
                <w:szCs w:val="30"/>
              </w:rPr>
            </w:pPr>
            <w:r w:rsidRPr="00711E2B">
              <w:rPr>
                <w:rFonts w:ascii="楷体" w:eastAsia="楷体" w:hAnsi="楷体" w:cs="宋体" w:hint="eastAsia"/>
                <w:b/>
                <w:bCs/>
                <w:color w:val="000000"/>
                <w:kern w:val="0"/>
                <w:sz w:val="30"/>
                <w:szCs w:val="30"/>
              </w:rPr>
              <w:t>（排名不分先后）</w:t>
            </w:r>
          </w:p>
        </w:tc>
      </w:tr>
      <w:tr w:rsidR="001D6E64" w:rsidRPr="00711E2B" w:rsidTr="00711E2B">
        <w:trPr>
          <w:trHeight w:val="806"/>
          <w:jc w:val="center"/>
        </w:trPr>
        <w:tc>
          <w:tcPr>
            <w:tcW w:w="1037"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1D6E64" w:rsidRPr="00711E2B" w:rsidRDefault="001D6E64" w:rsidP="001D6E64">
            <w:pPr>
              <w:widowControl/>
              <w:jc w:val="center"/>
              <w:rPr>
                <w:rFonts w:asciiTheme="minorEastAsia" w:hAnsiTheme="minorEastAsia" w:cs="宋体"/>
                <w:b/>
                <w:color w:val="000000"/>
                <w:kern w:val="0"/>
                <w:sz w:val="32"/>
                <w:szCs w:val="32"/>
              </w:rPr>
            </w:pPr>
            <w:r w:rsidRPr="00711E2B">
              <w:rPr>
                <w:rFonts w:asciiTheme="minorEastAsia" w:hAnsiTheme="minorEastAsia" w:cs="宋体" w:hint="eastAsia"/>
                <w:b/>
                <w:color w:val="000000"/>
                <w:kern w:val="0"/>
                <w:sz w:val="32"/>
                <w:szCs w:val="32"/>
              </w:rPr>
              <w:t>序号</w:t>
            </w:r>
          </w:p>
        </w:tc>
        <w:tc>
          <w:tcPr>
            <w:tcW w:w="7296" w:type="dxa"/>
            <w:tcBorders>
              <w:top w:val="single" w:sz="4" w:space="0" w:color="auto"/>
              <w:left w:val="nil"/>
              <w:bottom w:val="single" w:sz="4" w:space="0" w:color="auto"/>
              <w:right w:val="single" w:sz="4" w:space="0" w:color="auto"/>
            </w:tcBorders>
            <w:shd w:val="clear" w:color="000000" w:fill="FFC000"/>
            <w:noWrap/>
            <w:vAlign w:val="center"/>
            <w:hideMark/>
          </w:tcPr>
          <w:p w:rsidR="001D6E64" w:rsidRPr="00711E2B" w:rsidRDefault="001D6E64" w:rsidP="001D6E64">
            <w:pPr>
              <w:widowControl/>
              <w:jc w:val="center"/>
              <w:rPr>
                <w:rFonts w:asciiTheme="minorEastAsia" w:hAnsiTheme="minorEastAsia" w:cs="宋体"/>
                <w:b/>
                <w:color w:val="000000"/>
                <w:kern w:val="0"/>
                <w:sz w:val="32"/>
                <w:szCs w:val="32"/>
              </w:rPr>
            </w:pPr>
            <w:r w:rsidRPr="00711E2B">
              <w:rPr>
                <w:rFonts w:asciiTheme="minorEastAsia" w:hAnsiTheme="minorEastAsia" w:cs="宋体" w:hint="eastAsia"/>
                <w:b/>
                <w:color w:val="000000"/>
                <w:kern w:val="0"/>
                <w:sz w:val="32"/>
                <w:szCs w:val="32"/>
              </w:rPr>
              <w:t>题目</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“案多人少”矛盾下民事简易程序多次开庭问题的透视与应对——基于Q区基层法院三年司法数据的实证分析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“案多人少”情势下多层次审判流程管理的路径探析与制度设计——以11家先行法院繁简分流机制及S市H区法院五重分流系统为样本</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“单一抑或多样”：刑事证明标准运行现状的实证研究——以S省C市两级法院刑事庭审实质化改革初期210件示范庭案件为主要分析样本</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w:t>
            </w:r>
          </w:p>
        </w:tc>
        <w:tc>
          <w:tcPr>
            <w:tcW w:w="7296" w:type="dxa"/>
            <w:tcBorders>
              <w:top w:val="nil"/>
              <w:left w:val="nil"/>
              <w:bottom w:val="single" w:sz="4" w:space="0" w:color="auto"/>
              <w:right w:val="single" w:sz="4" w:space="0" w:color="auto"/>
            </w:tcBorders>
            <w:shd w:val="clear" w:color="auto" w:fill="auto"/>
            <w:vAlign w:val="center"/>
          </w:tcPr>
          <w:p w:rsidR="00711E2B" w:rsidRDefault="00522B35" w:rsidP="00522B35">
            <w:pPr>
              <w:widowControl/>
              <w:jc w:val="left"/>
              <w:rPr>
                <w:rFonts w:asciiTheme="minorEastAsia" w:hAnsiTheme="minorEastAsia" w:cs="宋体" w:hint="eastAsia"/>
                <w:color w:val="000000"/>
                <w:kern w:val="0"/>
                <w:sz w:val="32"/>
                <w:szCs w:val="32"/>
              </w:rPr>
            </w:pPr>
            <w:r w:rsidRPr="00522B35">
              <w:rPr>
                <w:rFonts w:asciiTheme="minorEastAsia" w:hAnsiTheme="minorEastAsia" w:cs="宋体" w:hint="eastAsia"/>
                <w:color w:val="000000"/>
                <w:kern w:val="0"/>
                <w:sz w:val="32"/>
                <w:szCs w:val="32"/>
              </w:rPr>
              <w:t>“额外”法官协助办案模式中国化的逻辑与路径</w:t>
            </w:r>
          </w:p>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——兼论未来法官之分类构想</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“告诉才处理”案件“告诉”模式初探——基于1377份一审裁判文书实证分析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“还权”而不是“扩权”：“让审理者裁判，由裁判者负责”的价值逻辑及制度设计</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“后司改”人民法院管理模式之探——以F中院扇形管理模式为例</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lastRenderedPageBreak/>
              <w:t>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“互联网+”新审判时代下当事人程序保障问题的研究——以新疆乌鲁木齐市天山区法院微信群审案事件为切入点</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“排除合理怀疑”适用效果的实证研究——以《刑事诉讼法》修改前后共40件案件为样本</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10</w:t>
            </w:r>
          </w:p>
        </w:tc>
        <w:tc>
          <w:tcPr>
            <w:tcW w:w="7296" w:type="dxa"/>
            <w:tcBorders>
              <w:top w:val="nil"/>
              <w:left w:val="nil"/>
              <w:bottom w:val="single" w:sz="4" w:space="0" w:color="auto"/>
              <w:right w:val="single" w:sz="4" w:space="0" w:color="auto"/>
            </w:tcBorders>
            <w:shd w:val="clear" w:color="auto" w:fill="auto"/>
            <w:vAlign w:val="center"/>
          </w:tcPr>
          <w:p w:rsidR="00711E2B" w:rsidRDefault="00522B35" w:rsidP="00522B35">
            <w:pPr>
              <w:widowControl/>
              <w:jc w:val="left"/>
              <w:rPr>
                <w:rFonts w:asciiTheme="minorEastAsia" w:hAnsiTheme="minorEastAsia" w:cs="宋体" w:hint="eastAsia"/>
                <w:color w:val="000000"/>
                <w:kern w:val="0"/>
                <w:sz w:val="32"/>
                <w:szCs w:val="32"/>
              </w:rPr>
            </w:pPr>
            <w:r w:rsidRPr="00522B35">
              <w:rPr>
                <w:rFonts w:asciiTheme="minorEastAsia" w:hAnsiTheme="minorEastAsia" w:cs="宋体" w:hint="eastAsia"/>
                <w:color w:val="000000"/>
                <w:kern w:val="0"/>
                <w:sz w:val="32"/>
                <w:szCs w:val="32"/>
              </w:rPr>
              <w:t>“判者负责”下的审判责任追究制之探索与完善</w:t>
            </w:r>
          </w:p>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——基于运作实践的实用建构</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11</w:t>
            </w:r>
          </w:p>
        </w:tc>
        <w:tc>
          <w:tcPr>
            <w:tcW w:w="7296" w:type="dxa"/>
            <w:tcBorders>
              <w:top w:val="nil"/>
              <w:left w:val="nil"/>
              <w:bottom w:val="single" w:sz="4" w:space="0" w:color="auto"/>
              <w:right w:val="single" w:sz="4" w:space="0" w:color="auto"/>
            </w:tcBorders>
            <w:shd w:val="clear" w:color="auto" w:fill="auto"/>
            <w:vAlign w:val="center"/>
          </w:tcPr>
          <w:p w:rsidR="00711E2B" w:rsidRDefault="00522B35" w:rsidP="00522B35">
            <w:pPr>
              <w:widowControl/>
              <w:jc w:val="left"/>
              <w:rPr>
                <w:rFonts w:asciiTheme="minorEastAsia" w:hAnsiTheme="minorEastAsia" w:cs="宋体" w:hint="eastAsia"/>
                <w:color w:val="000000"/>
                <w:kern w:val="0"/>
                <w:sz w:val="32"/>
                <w:szCs w:val="32"/>
              </w:rPr>
            </w:pPr>
            <w:r w:rsidRPr="00522B35">
              <w:rPr>
                <w:rFonts w:asciiTheme="minorEastAsia" w:hAnsiTheme="minorEastAsia" w:cs="宋体" w:hint="eastAsia"/>
                <w:color w:val="000000"/>
                <w:kern w:val="0"/>
                <w:sz w:val="32"/>
                <w:szCs w:val="32"/>
              </w:rPr>
              <w:t>“三段论”司法模式下的当事人真意探寻的困境</w:t>
            </w:r>
          </w:p>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——以预约和本约认定中的解释困境为视角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“严管”与“厚爱”：我国法官惩戒制度的现实困境与应然走向——以法官惩戒的典型案例为切入点</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“以审判为中心”背景下的检警、检法关系研究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“以审判为中心”的基础理论与实现路径</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“以审判为中心”新解及司改路径的调整</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1981-2015：中国国家纠纷分流政策成效之实证考察——兼议与员额制改革相衔接的“中国式治安法官制度”的构建</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Maintaining An Autonomous Model: Comparison of Judicial Disciplinary Committee Reforms in China with State Judicial Conduct Organizations in United States</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SOR模型分析——人民陪审员事实审之规则构建</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Y县社会力量参与社区矫正的问题与对策研究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案件权重体系研究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办案责任制改革语境下检察委员会运行机制优化</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保障与警戒：检察官司法责任体系构建的维度</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被缚的法官与规训的司法：我国法官绩效考评制度之反思——以A地基层法院的司法实践为例</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被告人最后陈述“遇冷”的省思</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本土与移植：检察官办案责任制改革的调查与思考</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变横向设置为纵向设置：基层人民法院民事审判内设机构改革研究——以优化人员配置化解审判压力为切入点</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层次分明：厘清司法授权下法官助理协助办案的司法责任</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超越员额制改革的“阿喀琉斯之踵”——司法人员工资制度改革僵局之破解</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掣肘与突破：论审执分离路径之理性选择</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城市管理巡回法庭初探——基于强制执行权配置体制的视角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澄清与优化：不当得利证明责任分配的类型化研究——以福建法院的审判实践为例</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冲突与衡平：案外人异议之诉中事实物权理论的引入</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冲突与平衡：论法官延迟退休制度的建立与完善</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初任法官遴选制度的理念重构和路径优化——以“胜任力模型”的嵌入为视角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刍议行政强制措施检察监督</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从“倒逼”到“主动”的执破衔接——以供给侧改革为视角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从边缘走向审判中心——以职能重新定位为基础构建研究室法官员额配置及考核模式</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从对抗到合作——论认罪认罚从宽制度在我国的兴起</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从行政案件“相对集中管辖”到“行政法院”的实证分析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从行政到司法：论我国死因确认司法化的理论基础与路径构建——由“雷洋”事件引发的思考</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从混沌走向澄明：要素式裁判法的路径转型——从庭审模式问题样态的剖析切入</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从基本解决执行难论审执分离制度重构之路径</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从简单叠加到辅车相依：中级法院审判团队的改革进路——基于津、粤、渝、陕四地法院的比较分析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从科层制到扁平化：司法体制改革的微观构造</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从临聘人员看基层法院职业化改革之困境——以S省M市四个基层法院为样本的实证研究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从模糊到清晰：探析法官助理的定位与职责——以社会角色理论为分析工具</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从三元结构到复合二元结构：基层法院院长职能定位的理性回归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从生理强制到心理强制：有罪供述生成路径的变迁与演进——以刑事侦查活动中人权保障为出发点</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从实践到规范：专业法官会议制度的功能及运行机制探究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从形式到实质：行政协议识别标准之反思</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从专门化到平民化：军事法院体制改革的理念与路径</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从装饰到助力：论我国人民陪审员事实审制度的本土化改造路径</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存疑不捕案件证据问题实证分析——司改背景下存疑不捕案件之再审视及路径重构</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错案追究制的价值重置、机制重构及角色重塑</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打破区域壁垒：京津冀社区矫正一体化可行性研究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大数据视野下的司法统计制度改革</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大数据司法应用前瞻——基于司法透明指数的研究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大众主义传统与法制理性：国家处理社会矛盾的“双轨制”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戴枷之舞：权利救济语境下的涉诉信访与独立审判——从两个案例和一份问卷切入</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60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到位与归位：基层法院审判辅助人员管理制度构建路径探索——以G省G市T区法院为样本</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61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道路交通事故纠纷损害赔偿案件“网上数据一体化”处理模式进路之实证探析——以浙江东部地区一基层法院近5年道路交通事故案件情况为样本</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62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德国刑事诉讼快速审理程序的结构、演变与我国的借鉴</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63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独立而公正：专门行政法院向何处去——以探索跨行政区划集中管辖行政案件为研究背景</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64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独任检察官制度：理论框架与实证考察——以上海基层检察院的试点为例</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65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对高校卓越法律人才培养的反思与建议——基于30所高校法学人才培养方案的分析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66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对监察委员会调查的职务犯罪案件实现检察监督的路径选择</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67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对认罪认罚从宽制度若干问题的规范解读和理性反思</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68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对我国司法系统与宪法间关系之新探——以最高院“涉宪批复”为切入点</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69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多元主体参与下的中国司法官遴选委员会——基于实证研究的考察</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70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二元化法官助理模式构想</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71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法官办案过程评价的4W机制探索——以大数据背景下的民事审判为视角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72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法官惩戒：制度环境、文化心理与政治传承——基于典型案件的法社会学思考</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73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法官惩戒事由的三种模式</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74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法官惩戒委员会与纪检监察制度衔接机制研究——以司法负责制下基层法院违法审判责任追究为视角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75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法官高薪的逻辑与验证</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76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法官薪酬制度研究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77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法官宣誓制度的审视、探究与展望——以与宪法宣誓制度之间的关系为主线</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78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法官业绩评价制度的价值构建和体系补全——基于T市18个中基层法院法官考核情况的调查</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79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法官员额制背景下法官饱和工作量的测算——基于“法官中心”视角的实证分析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80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法官员额制的结构性批判</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81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法官员额制改革“落地”还须“生根”——基于M省N市五地基层法院案件数的实证研究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82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法官员额制改革冷观察及进路分析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83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法官职业保障的批判与构建</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84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法官职业保障机制研究——以法官基本权益保护为视角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85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法官职业尊荣感的现状、原因与对策</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86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法官助理有效履职的现实进路——以法院人员分类管理制度改革为背景</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87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法官助理制度研究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88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法律论证的正当性：基于冤错案件预防的实证考量</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89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法律硕士论文质量与案例研究：现状考察与改善建议——基于83篇“惩罚性赔偿”学位论文的研究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90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法律之门：司法公开的冷智慧——舆情视角是与否、多与少、快与慢的辩证思维</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91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法律职业共同体的割裂与弥合——基于我国法官与律师职业关系现状的思考</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92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法庭上的“陌生人”：“以审判为中心”新常态下诉审关系重述</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93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法院改革困境破局的外向性探索——从矛盾纠纷多元化解机制中寻求诉源治理机遇</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94</w:t>
            </w:r>
          </w:p>
        </w:tc>
        <w:tc>
          <w:tcPr>
            <w:tcW w:w="7296" w:type="dxa"/>
            <w:tcBorders>
              <w:top w:val="nil"/>
              <w:left w:val="nil"/>
              <w:bottom w:val="single" w:sz="4" w:space="0" w:color="auto"/>
              <w:right w:val="single" w:sz="4" w:space="0" w:color="auto"/>
            </w:tcBorders>
            <w:shd w:val="clear" w:color="auto" w:fill="auto"/>
            <w:vAlign w:val="center"/>
          </w:tcPr>
          <w:p w:rsidR="00711E2B" w:rsidRDefault="00522B35" w:rsidP="00522B35">
            <w:pPr>
              <w:widowControl/>
              <w:jc w:val="left"/>
              <w:rPr>
                <w:rFonts w:asciiTheme="minorEastAsia" w:hAnsiTheme="minorEastAsia" w:cs="宋体" w:hint="eastAsia"/>
                <w:color w:val="000000"/>
                <w:kern w:val="0"/>
                <w:sz w:val="32"/>
                <w:szCs w:val="32"/>
              </w:rPr>
            </w:pPr>
            <w:r w:rsidRPr="00522B35">
              <w:rPr>
                <w:rFonts w:asciiTheme="minorEastAsia" w:hAnsiTheme="minorEastAsia" w:cs="宋体" w:hint="eastAsia"/>
                <w:color w:val="000000"/>
                <w:kern w:val="0"/>
                <w:sz w:val="32"/>
                <w:szCs w:val="32"/>
              </w:rPr>
              <w:t>法院行政事务管理改革的模式选择和制度设计</w:t>
            </w:r>
          </w:p>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——基于人员分类管理和人财物省级统管改革背景下的分析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95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法院内设机构的去“内卷化”：制度生成逻辑与破解路径</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96</w:t>
            </w:r>
          </w:p>
        </w:tc>
        <w:tc>
          <w:tcPr>
            <w:tcW w:w="7296" w:type="dxa"/>
            <w:tcBorders>
              <w:top w:val="nil"/>
              <w:left w:val="nil"/>
              <w:bottom w:val="single" w:sz="4" w:space="0" w:color="auto"/>
              <w:right w:val="single" w:sz="4" w:space="0" w:color="auto"/>
            </w:tcBorders>
            <w:shd w:val="clear" w:color="auto" w:fill="auto"/>
            <w:vAlign w:val="center"/>
          </w:tcPr>
          <w:p w:rsidR="00711E2B" w:rsidRDefault="00522B35" w:rsidP="00522B35">
            <w:pPr>
              <w:widowControl/>
              <w:jc w:val="left"/>
              <w:rPr>
                <w:rFonts w:asciiTheme="minorEastAsia" w:hAnsiTheme="minorEastAsia" w:cs="宋体" w:hint="eastAsia"/>
                <w:color w:val="000000"/>
                <w:kern w:val="0"/>
                <w:sz w:val="32"/>
                <w:szCs w:val="32"/>
              </w:rPr>
            </w:pPr>
            <w:r w:rsidRPr="00522B35">
              <w:rPr>
                <w:rFonts w:asciiTheme="minorEastAsia" w:hAnsiTheme="minorEastAsia" w:cs="宋体" w:hint="eastAsia"/>
                <w:color w:val="000000"/>
                <w:kern w:val="0"/>
                <w:sz w:val="32"/>
                <w:szCs w:val="32"/>
              </w:rPr>
              <w:t>法院人员分类背景下的社会服务购买模式研究</w:t>
            </w:r>
          </w:p>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——基于对政府购买模式的借鉴和法院现有模式的思考</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97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法院如何道歉：法院自赔案件道歉条款的限缩适用与行为范式研究——以最高院公开的46个赔偿决定书为研究范本</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98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法院审判庭制度改革研究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99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法院组织及其决策：司法职业保障的系统论观察</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100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法哲学视野下的认罪认罚从宽制度研究——兼谈以审判为中心刑事诉讼诉讼制度改革</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101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法治反腐：反腐败机构的整合与重构</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102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繁案精写：让证据“说出”真相——民事一审判决书事实查明部分书写模式新构</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103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反思与重构：民事庭审优质化改革背景下的基层法院民事简转普程序隐性问题的解析与应对——以S省D市法院208件简转普案件为分析样本</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104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反思与重构：我国行政诉讼暂时权利保护之进路探究——以442份判决书和H省Y市法院的实践为样本</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105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分离的力度与限度：法院内部司法行政权的审视与重构——基于交易成本理论下的分析研究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106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附条件执行名义审查程序体系论</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107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改革语境下检察机关参与社会治理的定位及路径思考——基于温州检察的实践视角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108</w:t>
            </w:r>
          </w:p>
        </w:tc>
        <w:tc>
          <w:tcPr>
            <w:tcW w:w="7296" w:type="dxa"/>
            <w:tcBorders>
              <w:top w:val="nil"/>
              <w:left w:val="nil"/>
              <w:bottom w:val="single" w:sz="4" w:space="0" w:color="auto"/>
              <w:right w:val="single" w:sz="4" w:space="0" w:color="auto"/>
            </w:tcBorders>
            <w:shd w:val="clear" w:color="auto" w:fill="auto"/>
            <w:vAlign w:val="center"/>
          </w:tcPr>
          <w:p w:rsidR="00711E2B" w:rsidRDefault="00522B35" w:rsidP="00522B35">
            <w:pPr>
              <w:widowControl/>
              <w:jc w:val="left"/>
              <w:rPr>
                <w:rFonts w:asciiTheme="minorEastAsia" w:hAnsiTheme="minorEastAsia" w:cs="宋体" w:hint="eastAsia"/>
                <w:color w:val="000000"/>
                <w:kern w:val="0"/>
                <w:sz w:val="32"/>
                <w:szCs w:val="32"/>
              </w:rPr>
            </w:pPr>
            <w:r w:rsidRPr="00522B35">
              <w:rPr>
                <w:rFonts w:asciiTheme="minorEastAsia" w:hAnsiTheme="minorEastAsia" w:cs="宋体" w:hint="eastAsia"/>
                <w:color w:val="000000"/>
                <w:kern w:val="0"/>
                <w:sz w:val="32"/>
                <w:szCs w:val="32"/>
              </w:rPr>
              <w:t>公而有度，开而有序：微博直播庭审的完善路径</w:t>
            </w:r>
          </w:p>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——基于100个法院微博直播庭审个案的实证分析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109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公民信访诉求表达权基本理论问题研究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110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公诉案件立案功能论——以公安机关为视角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111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公诉环节自行侦查权的性质、价值和完善——以Z省RA市检察院2013-2016年案件为样本</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112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公益法律人才培养环境与路径研究——基于职业社会学的生态分析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113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公正便民：行政案件集中管辖的模式分析与本土选择</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114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功能、身份与政治——人民法院党组的治理机制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115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构建“双4+3”复合型工程法律人才培养模式</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116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构建法官惩戒事由体系的探索</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117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构建法官与律师新型关系的实证研究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118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构建司法过程中的公共领域——以D区法院陪审制改革为样本</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119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构建新型检律关系：以公诉人为观察</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120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顾此不能失彼：担责与赋权并重的司法责任实现路径探究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121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关于构建“终本”案件与其他执行案件分类办理机制的探讨</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122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关于行政机关负责人出庭应诉的调研与思考</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123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关于基层法院员额法官履职及管理制度的调查研究——以B市Y区法院为样本</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124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关于认罪认罚从宽制度在重罪案件——以2015年J省C市中院刑一庭一审案件为分析样本</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125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关于审判力量市级统筹问题研究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126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规范性文件的司法审查标准构建</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127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国际人权法视角下对死刑民意的新认识——国家是否有责任引导死刑民意</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128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国家司法救助目的论</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129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国家治理的嬗变:基层法院的制度变迁与演进逻辑——百年来浙江省龙泉法院为中心的表达</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130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海峡两岸比较视野下交叉询问制度之规则构建</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131</w:t>
            </w:r>
          </w:p>
        </w:tc>
        <w:tc>
          <w:tcPr>
            <w:tcW w:w="7296" w:type="dxa"/>
            <w:tcBorders>
              <w:top w:val="nil"/>
              <w:left w:val="nil"/>
              <w:bottom w:val="single" w:sz="4" w:space="0" w:color="auto"/>
              <w:right w:val="single" w:sz="4" w:space="0" w:color="auto"/>
            </w:tcBorders>
            <w:shd w:val="clear" w:color="auto" w:fill="auto"/>
            <w:vAlign w:val="center"/>
          </w:tcPr>
          <w:p w:rsidR="00711E2B" w:rsidRDefault="00522B35" w:rsidP="00522B35">
            <w:pPr>
              <w:widowControl/>
              <w:jc w:val="left"/>
              <w:rPr>
                <w:rFonts w:asciiTheme="minorEastAsia" w:hAnsiTheme="minorEastAsia" w:cs="宋体" w:hint="eastAsia"/>
                <w:color w:val="000000"/>
                <w:kern w:val="0"/>
                <w:sz w:val="32"/>
                <w:szCs w:val="32"/>
              </w:rPr>
            </w:pPr>
            <w:r w:rsidRPr="00522B35">
              <w:rPr>
                <w:rFonts w:asciiTheme="minorEastAsia" w:hAnsiTheme="minorEastAsia" w:cs="宋体" w:hint="eastAsia"/>
                <w:color w:val="000000"/>
                <w:kern w:val="0"/>
                <w:sz w:val="32"/>
                <w:szCs w:val="32"/>
              </w:rPr>
              <w:t>行政案件跨行政区域管辖配套制度的探索与完善</w:t>
            </w:r>
          </w:p>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——基于C市14个基层法院行政案件相对集中管辖试点的实证研究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132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行政案件跨区域管辖改革的检视与省思——以《行政诉讼法》第18条第2款为中心</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133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行政案件跨区域管辖制度的追求与衍化——以异地交叉指定管辖的区域性实践为样本</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134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行政机关负责人出庭应诉制度的困境与出路——对J市法院样本和125个地方性规范文件的考察</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135</w:t>
            </w:r>
          </w:p>
        </w:tc>
        <w:tc>
          <w:tcPr>
            <w:tcW w:w="7296" w:type="dxa"/>
            <w:tcBorders>
              <w:top w:val="nil"/>
              <w:left w:val="nil"/>
              <w:bottom w:val="single" w:sz="4" w:space="0" w:color="auto"/>
              <w:right w:val="single" w:sz="4" w:space="0" w:color="auto"/>
            </w:tcBorders>
            <w:shd w:val="clear" w:color="auto" w:fill="auto"/>
            <w:vAlign w:val="center"/>
          </w:tcPr>
          <w:p w:rsidR="00711E2B" w:rsidRDefault="00522B35" w:rsidP="00522B35">
            <w:pPr>
              <w:widowControl/>
              <w:jc w:val="left"/>
              <w:rPr>
                <w:rFonts w:asciiTheme="minorEastAsia" w:hAnsiTheme="minorEastAsia" w:cs="宋体" w:hint="eastAsia"/>
                <w:color w:val="000000"/>
                <w:kern w:val="0"/>
                <w:sz w:val="32"/>
                <w:szCs w:val="32"/>
              </w:rPr>
            </w:pPr>
            <w:r w:rsidRPr="00522B35">
              <w:rPr>
                <w:rFonts w:asciiTheme="minorEastAsia" w:hAnsiTheme="minorEastAsia" w:cs="宋体" w:hint="eastAsia"/>
                <w:color w:val="000000"/>
                <w:kern w:val="0"/>
                <w:sz w:val="32"/>
                <w:szCs w:val="32"/>
              </w:rPr>
              <w:t>行政派出法庭：行政诉讼管辖制度的改革之路</w:t>
            </w:r>
          </w:p>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——以实现行政诉讼独立审判为视角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136</w:t>
            </w:r>
          </w:p>
        </w:tc>
        <w:tc>
          <w:tcPr>
            <w:tcW w:w="7296" w:type="dxa"/>
            <w:tcBorders>
              <w:top w:val="nil"/>
              <w:left w:val="nil"/>
              <w:bottom w:val="single" w:sz="4" w:space="0" w:color="auto"/>
              <w:right w:val="single" w:sz="4" w:space="0" w:color="auto"/>
            </w:tcBorders>
            <w:shd w:val="clear" w:color="auto" w:fill="auto"/>
            <w:vAlign w:val="center"/>
          </w:tcPr>
          <w:p w:rsidR="00711E2B" w:rsidRDefault="00522B35" w:rsidP="00522B35">
            <w:pPr>
              <w:widowControl/>
              <w:jc w:val="left"/>
              <w:rPr>
                <w:rFonts w:asciiTheme="minorEastAsia" w:hAnsiTheme="minorEastAsia" w:cs="宋体" w:hint="eastAsia"/>
                <w:color w:val="000000"/>
                <w:kern w:val="0"/>
                <w:sz w:val="32"/>
                <w:szCs w:val="32"/>
              </w:rPr>
            </w:pPr>
            <w:r w:rsidRPr="00522B35">
              <w:rPr>
                <w:rFonts w:asciiTheme="minorEastAsia" w:hAnsiTheme="minorEastAsia" w:cs="宋体" w:hint="eastAsia"/>
                <w:color w:val="000000"/>
                <w:kern w:val="0"/>
                <w:sz w:val="32"/>
                <w:szCs w:val="32"/>
              </w:rPr>
              <w:t>行政诉讼“三角结构”的内部形变及其成因分析</w:t>
            </w:r>
          </w:p>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——以行政审判体制改革为研究背景</w:t>
            </w:r>
          </w:p>
        </w:tc>
      </w:tr>
      <w:tr w:rsidR="00522B35" w:rsidRPr="00522B35" w:rsidTr="00711E2B">
        <w:trPr>
          <w:trHeight w:val="758"/>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137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行政诉讼案件相对集中管辖研究——以L法院为例</w:t>
            </w:r>
          </w:p>
        </w:tc>
      </w:tr>
      <w:tr w:rsidR="00522B35" w:rsidRPr="00522B35" w:rsidTr="00711E2B">
        <w:trPr>
          <w:trHeight w:val="840"/>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138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行政诉讼简易程序的实践检视与完善</w:t>
            </w:r>
          </w:p>
        </w:tc>
      </w:tr>
      <w:tr w:rsidR="00522B35" w:rsidRPr="00522B35" w:rsidTr="00711E2B">
        <w:trPr>
          <w:trHeight w:val="838"/>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139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行政诉讼立案登记制下立案偏好探究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140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行政诉讼中举报人原告资格的审查路径——基于指导案例77号的分析</w:t>
            </w:r>
          </w:p>
        </w:tc>
      </w:tr>
      <w:tr w:rsidR="00522B35" w:rsidRPr="00522B35" w:rsidTr="00711E2B">
        <w:trPr>
          <w:trHeight w:val="1435"/>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141</w:t>
            </w:r>
          </w:p>
        </w:tc>
        <w:tc>
          <w:tcPr>
            <w:tcW w:w="7296" w:type="dxa"/>
            <w:tcBorders>
              <w:top w:val="nil"/>
              <w:left w:val="nil"/>
              <w:bottom w:val="single" w:sz="4" w:space="0" w:color="auto"/>
              <w:right w:val="single" w:sz="4" w:space="0" w:color="auto"/>
            </w:tcBorders>
            <w:shd w:val="clear" w:color="auto" w:fill="auto"/>
            <w:vAlign w:val="center"/>
          </w:tcPr>
          <w:p w:rsidR="00711E2B" w:rsidRPr="00522B35" w:rsidRDefault="00522B35" w:rsidP="00711E2B">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行政执法、初查与刑事侦查阶段电子数据证据取证规则衔接</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142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行政执法和刑事司法衔接机制的问题与对策——以立案监督为视角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143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行政执法与刑事司法衔接机制完善路径研究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144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后评估时期检察公信力建设策略研究——以X区院公信力第三方评估实践为基础</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145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后员额制时期基层法院审判团队的模式选择</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146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环境侵权案件中的司法公正——基于一审判决书的实证研究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147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环境司法与行政监管衔接问题研究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148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环境司法专门化的现实困局和突围</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149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环境司法专门化视野下的民事执行制度研究——以环境民事公益诉讼案件为切入点</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150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恢复侦查预审程序研究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151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回到原点：对新型审判权运行机制下专业法官会议的探究与规制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152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回归传统与锻造技艺：青年法官培养模式的反思与路径——师徒制培养模式对案件质量终身责任制的理性回应</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153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回归合理办案区间：探索员额制后法官工作饱和度的“帕累托最优”——以W法院民商事法官工作情况为分析样本</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154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回归合理的审判工作量：探索司法体制改革下民事审判单元的“帕累托效率”——以A市10个基层法院民事审判单元配备为视角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155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回归身份的立场：法官责任的范畴及其构成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156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贿赂犯罪侦查中的刑讯逼供：基于结构性紧张的解读与反思</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157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基层法院“案多人少”问题研究——以L区法院实践情况为样本</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158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基层法院法官助理协助办案模式研究——以角色理论为视角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159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基层法院民事审判繁简分流机制构建研究——以C市G区法院实证分析为视角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160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基层法院司法行政部门以服务审判为中心的改革路径——以精准职能定位与程序高效运转为视角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161</w:t>
            </w:r>
          </w:p>
        </w:tc>
        <w:tc>
          <w:tcPr>
            <w:tcW w:w="7296" w:type="dxa"/>
            <w:tcBorders>
              <w:top w:val="nil"/>
              <w:left w:val="nil"/>
              <w:bottom w:val="single" w:sz="4" w:space="0" w:color="auto"/>
              <w:right w:val="single" w:sz="4" w:space="0" w:color="auto"/>
            </w:tcBorders>
            <w:shd w:val="clear" w:color="auto" w:fill="auto"/>
            <w:vAlign w:val="center"/>
          </w:tcPr>
          <w:p w:rsidR="00711E2B" w:rsidRDefault="00522B35" w:rsidP="00522B35">
            <w:pPr>
              <w:widowControl/>
              <w:jc w:val="left"/>
              <w:rPr>
                <w:rFonts w:asciiTheme="minorEastAsia" w:hAnsiTheme="minorEastAsia" w:cs="宋体" w:hint="eastAsia"/>
                <w:color w:val="000000"/>
                <w:kern w:val="0"/>
                <w:sz w:val="32"/>
                <w:szCs w:val="32"/>
              </w:rPr>
            </w:pPr>
            <w:r w:rsidRPr="00522B35">
              <w:rPr>
                <w:rFonts w:asciiTheme="minorEastAsia" w:hAnsiTheme="minorEastAsia" w:cs="宋体" w:hint="eastAsia"/>
                <w:color w:val="000000"/>
                <w:kern w:val="0"/>
                <w:sz w:val="32"/>
                <w:szCs w:val="32"/>
              </w:rPr>
              <w:t>基层法院未入额初任法官成长困境与路径探寻</w:t>
            </w:r>
          </w:p>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——以改革政策与司法实践的对立和统一为切入点</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162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基层法院刑事审判交叉询问规范研究——以制定《交叉询问行为指引》为展开</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163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基层检察机关在推行司法责任制过程中的两个适应性问题思考</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164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纪检监察和刑事司法办案标准及程序衔接机制实证研究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165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技术权力：裁判文书背后的风险规避逻辑</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166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技术侦查证据使用的实务观察与法理解析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167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家事案件职权调查的热实践与冷思考</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168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价值、困境与重构：完善检察监督体系背景下刑事赔偿监督规范化发展之探讨</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169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监、检、法三机关刑事诉讼职权关系研究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170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监察体制改革的逻辑与路径——以监察委员会与纪委的关系展开</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171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监察委员会的权力配置与规范运行</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172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检察办案组织若干问题研究——以司法责任制改革下的办案组织构建为视角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173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检察官办案责任制的关系定位</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174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检察官办案责任制视角下的检委会运行机制优化研究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175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检察官司法责任豁免制度探析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176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 xml:space="preserve">检察官业绩考评机制研究 </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177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检察官员额制改革三题</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178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检察管理模式创新面临的困境及其法治化路径探析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179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检察环节辩护律师参与下的认罪、量刑协商制度研究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180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检察环节律师参与认罪认罚从宽制度的实践探究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181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检察环节适用认罪认罚从宽制度的诉讼机制构建</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182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检察机关逮捕诉讼化改革的问题检视与改革方向探究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183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检察机关行政法律监督制度研究——以行政执法与刑事司法衔接机制为视角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184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检察机关量刑建议的规范化——基于实证分析的视角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185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检察机关内设机构改革理论与实践研究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186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检察机关司法责任制改革的进步与局限——以《关于完善人民检察院司法责任制的若干意见》为视角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187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检察机关提起公益诉讼实证研究——以无锡市锡山区人民检察院为蓝本</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188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检察机关提起公益诉讼问题研究——基于江苏检察机关的司法实践</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189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检察机关提起行政公益诉讼的合宪性分析——兼评最高人民检察院指导案例第29号</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190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检察机关提起行政公益诉讼诉前程序实证研究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191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检察机关提起环境民事公益诉讼诉前程序研究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192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检察机关提起民事公益诉讼制度研究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193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检察机关运行认罪认罚从宽机制探析</w:t>
            </w:r>
          </w:p>
        </w:tc>
      </w:tr>
      <w:tr w:rsidR="00522B35" w:rsidRPr="00522B35" w:rsidTr="00711E2B">
        <w:trPr>
          <w:trHeight w:val="841"/>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194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检察机关主导认罪认罚从宽制度改革的理论与实践</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195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检察人员业绩评价体系的构建——基于NBA球员PER值模型的引入</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196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检察政策研究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197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 xml:space="preserve">检视与完善：环境公益诉讼的困境与应对——以裁判文书为中心的实证分析 </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198</w:t>
            </w:r>
          </w:p>
        </w:tc>
        <w:tc>
          <w:tcPr>
            <w:tcW w:w="7296" w:type="dxa"/>
            <w:tcBorders>
              <w:top w:val="nil"/>
              <w:left w:val="nil"/>
              <w:bottom w:val="single" w:sz="4" w:space="0" w:color="auto"/>
              <w:right w:val="single" w:sz="4" w:space="0" w:color="auto"/>
            </w:tcBorders>
            <w:shd w:val="clear" w:color="auto" w:fill="auto"/>
            <w:vAlign w:val="center"/>
          </w:tcPr>
          <w:p w:rsidR="00711E2B" w:rsidRDefault="00522B35" w:rsidP="00522B35">
            <w:pPr>
              <w:widowControl/>
              <w:jc w:val="left"/>
              <w:rPr>
                <w:rFonts w:asciiTheme="minorEastAsia" w:hAnsiTheme="minorEastAsia" w:cs="宋体" w:hint="eastAsia"/>
                <w:color w:val="000000"/>
                <w:kern w:val="0"/>
                <w:sz w:val="32"/>
                <w:szCs w:val="32"/>
              </w:rPr>
            </w:pPr>
            <w:r w:rsidRPr="00522B35">
              <w:rPr>
                <w:rFonts w:asciiTheme="minorEastAsia" w:hAnsiTheme="minorEastAsia" w:cs="宋体" w:hint="eastAsia"/>
                <w:color w:val="000000"/>
                <w:kern w:val="0"/>
                <w:sz w:val="32"/>
                <w:szCs w:val="32"/>
              </w:rPr>
              <w:t>减负抑或加压：聘用制审判辅助人员的实效之维</w:t>
            </w:r>
          </w:p>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——以B市D基层法院实践的swot分析为视角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199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渐进式识别：刑事错案的三层认定标准——司法改革背景下法官承担错案责任语境下展开</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200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结构功能视角下纪委反腐败研究——兼论纪委“双规”、“双指”反腐败措施</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201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解“助”围，促“理”顺——法官员额制改革背景下法官助理制度的完善</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202</w:t>
            </w:r>
          </w:p>
        </w:tc>
        <w:tc>
          <w:tcPr>
            <w:tcW w:w="7296" w:type="dxa"/>
            <w:tcBorders>
              <w:top w:val="nil"/>
              <w:left w:val="nil"/>
              <w:bottom w:val="single" w:sz="4" w:space="0" w:color="auto"/>
              <w:right w:val="single" w:sz="4" w:space="0" w:color="auto"/>
            </w:tcBorders>
            <w:shd w:val="clear" w:color="auto" w:fill="auto"/>
            <w:vAlign w:val="center"/>
          </w:tcPr>
          <w:p w:rsidR="00711E2B" w:rsidRDefault="00522B35" w:rsidP="00522B35">
            <w:pPr>
              <w:widowControl/>
              <w:jc w:val="left"/>
              <w:rPr>
                <w:rFonts w:asciiTheme="minorEastAsia" w:hAnsiTheme="minorEastAsia" w:cs="宋体" w:hint="eastAsia"/>
                <w:color w:val="000000"/>
                <w:kern w:val="0"/>
                <w:sz w:val="32"/>
                <w:szCs w:val="32"/>
              </w:rPr>
            </w:pPr>
            <w:r w:rsidRPr="00522B35">
              <w:rPr>
                <w:rFonts w:asciiTheme="minorEastAsia" w:hAnsiTheme="minorEastAsia" w:cs="宋体" w:hint="eastAsia"/>
                <w:color w:val="000000"/>
                <w:kern w:val="0"/>
                <w:sz w:val="32"/>
                <w:szCs w:val="32"/>
              </w:rPr>
              <w:t>进退有据：员额制下法官的选任和退出模型研究</w:t>
            </w:r>
          </w:p>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——基于绩效评价指标的法官胜任力因子分析</w:t>
            </w:r>
          </w:p>
        </w:tc>
      </w:tr>
      <w:tr w:rsidR="00522B35" w:rsidRPr="00522B35" w:rsidTr="00711E2B">
        <w:trPr>
          <w:trHeight w:val="830"/>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203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 xml:space="preserve">禁止令的司法实践与完善:基于个案的裁判分析    </w:t>
            </w:r>
          </w:p>
        </w:tc>
      </w:tr>
      <w:tr w:rsidR="00522B35" w:rsidRPr="00522B35" w:rsidTr="00711E2B">
        <w:trPr>
          <w:trHeight w:val="841"/>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204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京津冀地区跨区划法院集中管辖制度的探索与思考</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205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经济学视野下完善法官员额制改革的“顶层细节”设计研究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206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警务用枪：规范、实践与机制完善——兼论警察法修订背景下武器使用标准</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207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救济“不明确”：在执行裁判程序内对瑕疵执行依据修正探析——以基本解决“执行难”为旨归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208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看守所被羁押人人权的正当化论证</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209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抗拒执行之刑事制裁路径重塑问题探讨——以《刑法修正案（九）》对拒不执行判决、裁定罪的修订为视角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210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跨行政区划法院改革的反思及重构——兼论铁路运输法院的改造</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211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跨行政区划法院改革的理论逻辑与制度构建</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212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跨行政区划检察院工作办案机制研究——以办理破坏环境资源刑事案件为切入点</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213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跨行政区划检察院刑事管辖权研究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214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跨行政区划人民法院设置的制度逻辑</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215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跨域立案制度优化运行的路径思考与展望——以F省法院实践为样本</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216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困境与出路：论我国员额法官退出机制之构建</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217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困境与出路：员额制改革大环境下法官遴选制度之完善——以A省B市中级法院法官遴选实践为研究样本</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218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困境与突破：食品安全行政执法与刑事司法衔接机制实证研究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219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离婚诉讼中法官证据调查权的自我剥夺及阐释：新职权主义的反思与规制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220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理论与实践双重维度下的刑事侦诉关系审视——以契合以审判为中心为视角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221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理顺特殊经济区域检法体制的法治反思</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222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理想与现实:行政诉讼立案登记考——以H省S市法院系统运行现状为分析视角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223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立案登记制背景下民事审限制度之反思与重构</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224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711E2B">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立案登记制背景下诉讼费收取模式的重塑</w:t>
            </w:r>
            <w:r w:rsidR="00711E2B">
              <w:rPr>
                <w:rFonts w:asciiTheme="minorEastAsia" w:hAnsiTheme="minorEastAsia" w:cs="宋体" w:hint="eastAsia"/>
                <w:color w:val="000000"/>
                <w:kern w:val="0"/>
                <w:sz w:val="32"/>
                <w:szCs w:val="32"/>
              </w:rPr>
              <w:t>——</w:t>
            </w:r>
            <w:r w:rsidRPr="00522B35">
              <w:rPr>
                <w:rFonts w:asciiTheme="minorEastAsia" w:hAnsiTheme="minorEastAsia" w:cs="宋体" w:hint="eastAsia"/>
                <w:color w:val="000000"/>
                <w:kern w:val="0"/>
                <w:sz w:val="32"/>
                <w:szCs w:val="32"/>
              </w:rPr>
              <w:t>以引导纠纷多元化解为中心</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225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立案登记制改革后的反思与优化——基于N市法院立案情况的实证分析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226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立宪主义视野下的检察权配置研究——兼论国家监察委员会的建立</w:t>
            </w:r>
          </w:p>
        </w:tc>
      </w:tr>
      <w:tr w:rsidR="00522B35" w:rsidRPr="00522B35" w:rsidTr="00711E2B">
        <w:trPr>
          <w:trHeight w:val="830"/>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227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两法衔接证据转化制度风险及防范问题研究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228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量刑改革的瓶颈与实体性出罪的出路——罪责宽恕事由的引入</w:t>
            </w:r>
          </w:p>
        </w:tc>
      </w:tr>
      <w:tr w:rsidR="00522B35" w:rsidRPr="00522B35" w:rsidTr="00711E2B">
        <w:trPr>
          <w:trHeight w:val="10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229</w:t>
            </w:r>
          </w:p>
        </w:tc>
        <w:tc>
          <w:tcPr>
            <w:tcW w:w="7296" w:type="dxa"/>
            <w:tcBorders>
              <w:top w:val="nil"/>
              <w:left w:val="nil"/>
              <w:bottom w:val="single" w:sz="4" w:space="0" w:color="auto"/>
              <w:right w:val="single" w:sz="4" w:space="0" w:color="auto"/>
            </w:tcBorders>
            <w:shd w:val="clear" w:color="auto" w:fill="auto"/>
            <w:vAlign w:val="center"/>
          </w:tcPr>
          <w:p w:rsidR="00711E2B" w:rsidRPr="00522B35" w:rsidRDefault="00522B35" w:rsidP="00711E2B">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论“三定方案”在国家监察制度体系中的作用</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230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论被追诉人自主性辩护突围之道——基于辩护律师核实证据现状的思考</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231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论裁判文书对公众公开——兼2014年网上公布裁判文书的实践反思</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232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论裁判文书上网公开的尺度——以化解社会矛盾为视角</w:t>
            </w:r>
          </w:p>
        </w:tc>
      </w:tr>
      <w:tr w:rsidR="00522B35" w:rsidRPr="00522B35" w:rsidTr="00711E2B">
        <w:trPr>
          <w:trHeight w:val="908"/>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233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论大数据时代司法裁判的层级与创新发展</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234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论当事人中心主义与法庭中心主义的调和——我国辩护律师职业伦理的再定位</w:t>
            </w:r>
          </w:p>
        </w:tc>
      </w:tr>
      <w:tr w:rsidR="00522B35" w:rsidRPr="00522B35" w:rsidTr="00711E2B">
        <w:trPr>
          <w:trHeight w:val="854"/>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235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论党对地方法院组织领导的法治化变革</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236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论法官不晋升与司法独立——以英国司法系统和美国联邦司法系统为考察重点</w:t>
            </w:r>
          </w:p>
        </w:tc>
      </w:tr>
      <w:tr w:rsidR="00522B35" w:rsidRPr="00522B35" w:rsidTr="00711E2B">
        <w:trPr>
          <w:trHeight w:val="101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237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论法官助理等级制度之构建</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238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论反科层的科层制——基于S市检察员额选任的实证分析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239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711E2B">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论行政执法与刑事司法的证据衔接</w:t>
            </w:r>
            <w:r w:rsidR="00711E2B">
              <w:rPr>
                <w:rFonts w:asciiTheme="minorEastAsia" w:hAnsiTheme="minorEastAsia" w:cs="宋体" w:hint="eastAsia"/>
                <w:color w:val="000000"/>
                <w:kern w:val="0"/>
                <w:sz w:val="32"/>
                <w:szCs w:val="32"/>
              </w:rPr>
              <w:t>——</w:t>
            </w:r>
            <w:r w:rsidRPr="00522B35">
              <w:rPr>
                <w:rFonts w:asciiTheme="minorEastAsia" w:hAnsiTheme="minorEastAsia" w:cs="宋体" w:hint="eastAsia"/>
                <w:color w:val="000000"/>
                <w:kern w:val="0"/>
                <w:sz w:val="32"/>
                <w:szCs w:val="32"/>
              </w:rPr>
              <w:t>基于山东H市行政机关移送侦查的103件案件的实证分析</w:t>
            </w:r>
          </w:p>
        </w:tc>
      </w:tr>
      <w:tr w:rsidR="00522B35" w:rsidRPr="00522B35" w:rsidTr="00711E2B">
        <w:trPr>
          <w:trHeight w:val="86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240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论基层法院法官助理制度的现实构建</w:t>
            </w:r>
          </w:p>
        </w:tc>
      </w:tr>
      <w:tr w:rsidR="00522B35" w:rsidRPr="00522B35" w:rsidTr="00711E2B">
        <w:trPr>
          <w:trHeight w:val="846"/>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241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论基层法院组织结构设计的原则和方法</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242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论基层检察院内设机构的改革与完善——以司法责任制背景下海南省基层检察院的内设机构改革为样本分析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243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论基于信任的主审法官责任制之构建</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244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论家事诉讼中家事“三员”的职能定位与体系协作</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245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论监察委员会的调查权——以“以审判为中心”的诉讼制度为视角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246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论监察委员会与检察院的职权界定与衔接</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247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论检察机关提起行政公益诉讼制度之构建——以试点地区案例为研究切入点</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248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论检察机关侦查引导权的破局与立势——基于“以审判为中心”背景下的检警关系新构架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249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论经济法诉讼中诉讼权利处分自由的限制及制度构造</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250</w:t>
            </w:r>
          </w:p>
        </w:tc>
        <w:tc>
          <w:tcPr>
            <w:tcW w:w="7296" w:type="dxa"/>
            <w:tcBorders>
              <w:top w:val="nil"/>
              <w:left w:val="nil"/>
              <w:bottom w:val="single" w:sz="4" w:space="0" w:color="auto"/>
              <w:right w:val="single" w:sz="4" w:space="0" w:color="auto"/>
            </w:tcBorders>
            <w:shd w:val="clear" w:color="auto" w:fill="auto"/>
            <w:vAlign w:val="center"/>
          </w:tcPr>
          <w:p w:rsidR="00711E2B" w:rsidRDefault="00522B35" w:rsidP="00522B35">
            <w:pPr>
              <w:widowControl/>
              <w:jc w:val="left"/>
              <w:rPr>
                <w:rFonts w:asciiTheme="minorEastAsia" w:hAnsiTheme="minorEastAsia" w:cs="宋体" w:hint="eastAsia"/>
                <w:color w:val="000000"/>
                <w:kern w:val="0"/>
                <w:sz w:val="32"/>
                <w:szCs w:val="32"/>
              </w:rPr>
            </w:pPr>
            <w:r w:rsidRPr="00522B35">
              <w:rPr>
                <w:rFonts w:asciiTheme="minorEastAsia" w:hAnsiTheme="minorEastAsia" w:cs="宋体" w:hint="eastAsia"/>
                <w:color w:val="000000"/>
                <w:kern w:val="0"/>
                <w:sz w:val="32"/>
                <w:szCs w:val="32"/>
              </w:rPr>
              <w:t>论跨行政区划法院案件管辖范围及其实现机制</w:t>
            </w:r>
          </w:p>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——兼论我国指定管辖制度的完善</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251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论跨境刑事案件中域外证据的司法认定——以若干典型案例为样本</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252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论立案登记制的设计逻辑及规范化运作——以行政诉讼案件立案登记改革为切入点</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253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论媒体在司法公正中的角色定位</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254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论民事“附条件裁判方式”</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255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论申诉专员的分野与统一</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256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论司法裁判的公信力价值</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257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论司法改革背景下干预司法的规制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258</w:t>
            </w:r>
          </w:p>
        </w:tc>
        <w:tc>
          <w:tcPr>
            <w:tcW w:w="7296" w:type="dxa"/>
            <w:tcBorders>
              <w:top w:val="nil"/>
              <w:left w:val="nil"/>
              <w:bottom w:val="single" w:sz="4" w:space="0" w:color="auto"/>
              <w:right w:val="single" w:sz="4" w:space="0" w:color="auto"/>
            </w:tcBorders>
            <w:shd w:val="clear" w:color="auto" w:fill="auto"/>
            <w:vAlign w:val="center"/>
          </w:tcPr>
          <w:p w:rsidR="00711E2B" w:rsidRDefault="00522B35" w:rsidP="00522B35">
            <w:pPr>
              <w:widowControl/>
              <w:jc w:val="left"/>
              <w:rPr>
                <w:rFonts w:asciiTheme="minorEastAsia" w:hAnsiTheme="minorEastAsia" w:cs="宋体" w:hint="eastAsia"/>
                <w:color w:val="000000"/>
                <w:kern w:val="0"/>
                <w:sz w:val="32"/>
                <w:szCs w:val="32"/>
              </w:rPr>
            </w:pPr>
            <w:r w:rsidRPr="00522B35">
              <w:rPr>
                <w:rFonts w:asciiTheme="minorEastAsia" w:hAnsiTheme="minorEastAsia" w:cs="宋体" w:hint="eastAsia"/>
                <w:color w:val="000000"/>
                <w:kern w:val="0"/>
                <w:sz w:val="32"/>
                <w:szCs w:val="32"/>
              </w:rPr>
              <w:t>论司法改革背景下检察引导侦查的实质化构建</w:t>
            </w:r>
          </w:p>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——以检察监督体系的完善和发展为视角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259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论司法公开对法官裁判的影响</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260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论司法责任制改革后裁判尺度统一的困境与出路</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261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论司改背景下法官责任制与涉诉信访制度的博弈冲突——以涉诉信访改革为中心</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262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论网络舆论对刑事司法的影响及其限度——以贪腐案件为视角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263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论文化抗辩在刑事司法适用之实证分析——以少数民族地区某基层法院办理的案件为视角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264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论我国法官荣誉制度的完善</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265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论刑事强制措施期间启动精神病鉴定程序的人权保障</w:t>
            </w:r>
          </w:p>
        </w:tc>
      </w:tr>
      <w:tr w:rsidR="00522B35" w:rsidRPr="00522B35" w:rsidTr="00711E2B">
        <w:trPr>
          <w:trHeight w:val="916"/>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266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论选择性证据排除</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267</w:t>
            </w:r>
          </w:p>
        </w:tc>
        <w:tc>
          <w:tcPr>
            <w:tcW w:w="7296" w:type="dxa"/>
            <w:tcBorders>
              <w:top w:val="nil"/>
              <w:left w:val="nil"/>
              <w:bottom w:val="single" w:sz="4" w:space="0" w:color="auto"/>
              <w:right w:val="single" w:sz="4" w:space="0" w:color="auto"/>
            </w:tcBorders>
            <w:shd w:val="clear" w:color="auto" w:fill="auto"/>
            <w:vAlign w:val="center"/>
          </w:tcPr>
          <w:p w:rsidR="00711E2B" w:rsidRDefault="00522B35" w:rsidP="00522B35">
            <w:pPr>
              <w:widowControl/>
              <w:jc w:val="left"/>
              <w:rPr>
                <w:rFonts w:asciiTheme="minorEastAsia" w:hAnsiTheme="minorEastAsia" w:cs="宋体" w:hint="eastAsia"/>
                <w:color w:val="000000"/>
                <w:kern w:val="0"/>
                <w:sz w:val="32"/>
                <w:szCs w:val="32"/>
              </w:rPr>
            </w:pPr>
            <w:r w:rsidRPr="00522B35">
              <w:rPr>
                <w:rFonts w:asciiTheme="minorEastAsia" w:hAnsiTheme="minorEastAsia" w:cs="宋体" w:hint="eastAsia"/>
                <w:color w:val="000000"/>
                <w:kern w:val="0"/>
                <w:sz w:val="32"/>
                <w:szCs w:val="32"/>
              </w:rPr>
              <w:t>论疑点为中心的刑事案件审查起诉模式之构建</w:t>
            </w:r>
          </w:p>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——以信息作为治理工具为切入</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268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论证据不足事由的尺度——兼议排除合理怀疑体系建构在刑事检察权范围内之运用</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269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论值班律师的应然定位</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270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论中国基层司法语境下的德性司法问题</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271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论专门反腐败机构的法律控制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272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论作为基石范畴的司法权内涵——探寻“司法权”的“最大公约数”</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273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绿色司法：后现代语境下刑事司法的应然选择和行径方向</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274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迷途中的归位：庭审中心主义下审委会运行模式重构——以去行政化实现司法正途为视角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275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面向事实本身：科学证据下人民陪审员参与事实审的困境与化解</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276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民间借贷诉讼中的证明责任问题——以民间借贷司法解释第16、17条为中心</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277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民间谚语的文化蕴含：试论法律叙事在司法公信建设中的价值</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278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民事裁判文书说理改革下的行政命令之民事司法适用</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279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民事裁判文书说理研究——以H市民事裁判文书为样本</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280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民事审判权配置方式研究——从司法改革角度切入</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281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民事审判迅速化的理念错位及其调整</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282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民事诉讼难办案件的制度阐释——以彭宇案为研究对象</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283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民事庭审优质化庭前准备程序在人民法庭审判工作中的运用研究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284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民事一审庭前程序律师参与机制研究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285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 xml:space="preserve">民主、反腐、自治：网络公共领域兴起的法理追问  </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286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明天谁来当我们的法官？——中国法官离职现象的实证分析及原因、对策</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287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涅槃与重生：以庭审为中心的行政审判模式探索</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288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陪审员参与民事案件事实认定程序构造论</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289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陪审员事实认定的障碍突破——兼论陪审员事实审对罪刑体系之修正构想</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290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偏离与重构：轻微刑事速裁案件一审终审制度探索</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291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破解“僧少粥多”的困境：庭审规范化双螺旋模式的透视与建构——回应司法改革背景下二审庭审的需要</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292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前景与路径：我国审判人员胜任力研究——以湖南省长沙市法院系统审判人员为样本的实证分析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293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浅谈司法公开中庭审直播的规范化</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294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浅析检察委员会运行机制的理性调维——以检察执法办案责任主体为视角</w:t>
            </w:r>
          </w:p>
        </w:tc>
      </w:tr>
      <w:tr w:rsidR="00522B35" w:rsidRPr="00522B35" w:rsidTr="00DF7B5E">
        <w:trPr>
          <w:trHeight w:val="873"/>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295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取势而后明道：结案均衡度的透视与变革</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296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去司法解释化：指导性案例的悖论克服与制度重构</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297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去侦查权背景下检察权的再定位与新发展</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298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群体的抉择：“4+3”大合议庭陪审制之认知行为研究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299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让不间断原则走向应然步入应然——对不间断审理和当庭宣判的思考</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300</w:t>
            </w:r>
          </w:p>
        </w:tc>
        <w:tc>
          <w:tcPr>
            <w:tcW w:w="7296" w:type="dxa"/>
            <w:tcBorders>
              <w:top w:val="nil"/>
              <w:left w:val="nil"/>
              <w:bottom w:val="single" w:sz="4" w:space="0" w:color="auto"/>
              <w:right w:val="single" w:sz="4" w:space="0" w:color="auto"/>
            </w:tcBorders>
            <w:shd w:val="clear" w:color="auto" w:fill="auto"/>
            <w:vAlign w:val="center"/>
          </w:tcPr>
          <w:p w:rsidR="00711E2B" w:rsidRDefault="00522B35" w:rsidP="00522B35">
            <w:pPr>
              <w:widowControl/>
              <w:jc w:val="left"/>
              <w:rPr>
                <w:rFonts w:asciiTheme="minorEastAsia" w:hAnsiTheme="minorEastAsia" w:cs="宋体" w:hint="eastAsia"/>
                <w:color w:val="000000"/>
                <w:kern w:val="0"/>
                <w:sz w:val="32"/>
                <w:szCs w:val="32"/>
              </w:rPr>
            </w:pPr>
            <w:r w:rsidRPr="00522B35">
              <w:rPr>
                <w:rFonts w:asciiTheme="minorEastAsia" w:hAnsiTheme="minorEastAsia" w:cs="宋体" w:hint="eastAsia"/>
                <w:color w:val="000000"/>
                <w:kern w:val="0"/>
                <w:sz w:val="32"/>
                <w:szCs w:val="32"/>
              </w:rPr>
              <w:t>让数据发声：司法领域大数据应用的效用前瞻</w:t>
            </w:r>
          </w:p>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——基于信用卡透支纠纷案件的模拟研究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301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人本视角下法官员额评估模型的构建与运用</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302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人大对法院个案监督制度的反思与重构——在司法改革背景下以X县法院为样本</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303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人工智能司法运用的前景评估——以考夫曼的法律哲学为核心</w:t>
            </w:r>
          </w:p>
        </w:tc>
      </w:tr>
      <w:tr w:rsidR="00522B35" w:rsidRPr="00522B35" w:rsidTr="00DF7B5E">
        <w:trPr>
          <w:trHeight w:val="804"/>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304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人民法庭的解构之路</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305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人民法庭实行司法责任制改革的调查与思考——基于135个人民法庭的实证分析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306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人民法院标准化建设思考</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307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人民法院审判权力运行机制的多维度思考——以中部某省法院为样本分析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308</w:t>
            </w:r>
          </w:p>
        </w:tc>
        <w:tc>
          <w:tcPr>
            <w:tcW w:w="7296" w:type="dxa"/>
            <w:tcBorders>
              <w:top w:val="nil"/>
              <w:left w:val="nil"/>
              <w:bottom w:val="single" w:sz="4" w:space="0" w:color="auto"/>
              <w:right w:val="single" w:sz="4" w:space="0" w:color="auto"/>
            </w:tcBorders>
            <w:shd w:val="clear" w:color="auto" w:fill="auto"/>
            <w:vAlign w:val="center"/>
          </w:tcPr>
          <w:p w:rsidR="00DF7B5E" w:rsidRDefault="00522B35" w:rsidP="00522B35">
            <w:pPr>
              <w:widowControl/>
              <w:jc w:val="left"/>
              <w:rPr>
                <w:rFonts w:asciiTheme="minorEastAsia" w:hAnsiTheme="minorEastAsia" w:cs="宋体" w:hint="eastAsia"/>
                <w:color w:val="000000"/>
                <w:kern w:val="0"/>
                <w:sz w:val="32"/>
                <w:szCs w:val="32"/>
              </w:rPr>
            </w:pPr>
            <w:r w:rsidRPr="00522B35">
              <w:rPr>
                <w:rFonts w:asciiTheme="minorEastAsia" w:hAnsiTheme="minorEastAsia" w:cs="宋体" w:hint="eastAsia"/>
                <w:color w:val="000000"/>
                <w:kern w:val="0"/>
                <w:sz w:val="32"/>
                <w:szCs w:val="32"/>
              </w:rPr>
              <w:t>人民陪审员参与案件事实审：缘由、困境与思路</w:t>
            </w:r>
          </w:p>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——来自浙江省的经验材料</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309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人民陪审员参与事实审的诉讼构造研究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310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人民陪审员遴选机制的实证研究——以S法院和F法院为分析样本</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311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人民陪审员制度改革的实证分析——以首批改革试点的S法院为样本</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312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人民陪审员制度中事实审的探究与规制——以刑事诉讼为分析进路</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313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人民陪审制度事实审与法律审相分离改革之困境与出路——以最高人民法院《关于人民陪审员制度改革试点情况的中期报告》为研究对象</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314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人权保障视野下性犯罪未成年被害人司法救助制度研究——基于P市X区性侵案件的实证分析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315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人身安全保护令制度的实践困境与制度完善</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316</w:t>
            </w:r>
          </w:p>
        </w:tc>
        <w:tc>
          <w:tcPr>
            <w:tcW w:w="7296" w:type="dxa"/>
            <w:tcBorders>
              <w:top w:val="nil"/>
              <w:left w:val="nil"/>
              <w:bottom w:val="single" w:sz="4" w:space="0" w:color="auto"/>
              <w:right w:val="single" w:sz="4" w:space="0" w:color="auto"/>
            </w:tcBorders>
            <w:shd w:val="clear" w:color="auto" w:fill="auto"/>
            <w:vAlign w:val="center"/>
          </w:tcPr>
          <w:p w:rsidR="00DF7B5E" w:rsidRDefault="00522B35" w:rsidP="00522B35">
            <w:pPr>
              <w:widowControl/>
              <w:jc w:val="left"/>
              <w:rPr>
                <w:rFonts w:asciiTheme="minorEastAsia" w:hAnsiTheme="minorEastAsia" w:cs="宋体" w:hint="eastAsia"/>
                <w:color w:val="000000"/>
                <w:kern w:val="0"/>
                <w:sz w:val="32"/>
                <w:szCs w:val="32"/>
              </w:rPr>
            </w:pPr>
            <w:r w:rsidRPr="00522B35">
              <w:rPr>
                <w:rFonts w:asciiTheme="minorEastAsia" w:hAnsiTheme="minorEastAsia" w:cs="宋体" w:hint="eastAsia"/>
                <w:color w:val="000000"/>
                <w:kern w:val="0"/>
                <w:sz w:val="32"/>
                <w:szCs w:val="32"/>
              </w:rPr>
              <w:t>人员分类管理背景下法官养成机制的根本出路</w:t>
            </w:r>
          </w:p>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——以R基层法院为现实考量</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317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认真对待司法行政人员</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318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认罪认罚“程序从宽”机制构建</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319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认罪认罚从宽协议的法律构造</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320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认罪认罚从宽与刑事和解的衔接机制构建</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321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认罪认罚从宽制度的风险防范与疏解</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322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认罪认罚从宽制度的先导性实践研究——总结在杭刑事速裁程序试点经验</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323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认罪认罚从宽制度的刑事责任基础探究——以修复性刑事责任为考察中心</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324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认罪认罚从宽制度实施中被害人的权利保护——价值权衡视阈下的解读</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325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认罪认罚从宽制度试点与我国刑事诉讼制度体系转型</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326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认罪认罚从宽制度之核心概念展开</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327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认罪认罚从宽制度中风险的防控与疏解</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328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认罪认罚制度的体系性缺失和程序性失灵及改革完善——基于90件轻型快处案件的SPSS统计分析展开</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329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日本认罪认罚相关制度研究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330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如何“参照”：指导性案例的适用逻辑</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331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如何监督监督者？——兼谈对监察委员会的诉讼监督问题</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332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三重场域下中国基层法官离职类型研究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333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上海检察机关检察官权力清单制度实施情况调研报告</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334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设立跨行政区划人民法院集中管辖行政案件之探讨——基于行政诉讼法第十八条第二款之规定</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335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社会关系网络中的司法官及其司法决策</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336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社会治理法治建设指标体系的设计、内容及其评估</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337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社区矫正领域渎职案件量刑实证分析——基于36份判决书样本的考察</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338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申诉案件律师代理制度的探索与思考——以十八大以来若干重大刑事申诉案件为中心分析考察</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339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深化改革视角下检察机关参与未成年人刑事案件调查问题研究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340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深化改革视阈下司法公信力第三方评估机制的检视与优化——以全国首份司法公信力第三方评估报告为镜鉴</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341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深化社会矛盾纠纷多元化解机制的审视与思考</w:t>
            </w:r>
          </w:p>
        </w:tc>
      </w:tr>
      <w:tr w:rsidR="00522B35" w:rsidRPr="00522B35" w:rsidTr="00DF7B5E">
        <w:trPr>
          <w:trHeight w:val="888"/>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342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审查起诉阶段适用认罪认罚从宽制度若干问题探析</w:t>
            </w:r>
          </w:p>
        </w:tc>
      </w:tr>
      <w:tr w:rsidR="00522B35" w:rsidRPr="00522B35" w:rsidTr="00DF7B5E">
        <w:trPr>
          <w:trHeight w:val="884"/>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343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审查起诉时认罪认罚从宽处罚及其价值研究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344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审判辅助人员单独职务序列管理路径探索——以东莞第三法院为样本</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345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审判辅助职的岗位规范检视与矫正——基于以工作分析为视角的改革样本考察</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346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审判权和执行权“深化内分”模式研究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347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审判权与审判指导权走向良性互动——兼论“多元一极”裁判规则供给机制之构建</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348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审判视角下的“认罪认罚从宽制度”</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349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审判委员会议案方式的辩论制改造</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350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审判责任追究标准的困境与出路</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351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审判中心论的话语体系分歧与解决</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352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审判中心模式下对言词证据变化、反复的采信及应对——以行受贿案件为视角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353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审判中心视野下审前诉辩关系的反思与重构</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354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审判中心视域下诉侦关系运行实证研究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355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审判中心视域中的侦查取证工作论纲</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356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审判中心主义视角下刑事法官依职权调查取证之再改造</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357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 xml:space="preserve">审视与构建：法官惩戒制度的乱象与突围——以法官权益保障为视角 </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358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失范与规制：论裁判文书个性化说理的边界</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359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实证分析立案登记与滥用诉权的司法制衡</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360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试点分析与规则建构：人证出庭作证改革之实证考察——以刑事庭审实质化改革试点法院示范庭为分析样本</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361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试论“查诉审”分立的行政公益诉讼模式——以国家监察体制改革为背景</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362</w:t>
            </w:r>
          </w:p>
        </w:tc>
        <w:tc>
          <w:tcPr>
            <w:tcW w:w="7296" w:type="dxa"/>
            <w:tcBorders>
              <w:top w:val="nil"/>
              <w:left w:val="nil"/>
              <w:bottom w:val="single" w:sz="4" w:space="0" w:color="auto"/>
              <w:right w:val="single" w:sz="4" w:space="0" w:color="auto"/>
            </w:tcBorders>
            <w:shd w:val="clear" w:color="auto" w:fill="auto"/>
            <w:vAlign w:val="center"/>
          </w:tcPr>
          <w:p w:rsidR="00DF7B5E" w:rsidRDefault="00522B35" w:rsidP="00522B35">
            <w:pPr>
              <w:widowControl/>
              <w:jc w:val="left"/>
              <w:rPr>
                <w:rFonts w:asciiTheme="minorEastAsia" w:hAnsiTheme="minorEastAsia" w:cs="宋体" w:hint="eastAsia"/>
                <w:color w:val="000000"/>
                <w:kern w:val="0"/>
                <w:sz w:val="32"/>
                <w:szCs w:val="32"/>
              </w:rPr>
            </w:pPr>
            <w:r w:rsidRPr="00522B35">
              <w:rPr>
                <w:rFonts w:asciiTheme="minorEastAsia" w:hAnsiTheme="minorEastAsia" w:cs="宋体" w:hint="eastAsia"/>
                <w:color w:val="000000"/>
                <w:kern w:val="0"/>
                <w:sz w:val="32"/>
                <w:szCs w:val="32"/>
              </w:rPr>
              <w:t>试论庭前会议中非法证据排除程序的体系构建</w:t>
            </w:r>
          </w:p>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——以盐城市检察机关试点数据为样本</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363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试论我国检察机关提起公益诉讼撤诉权</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364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试论以审判权能重置为中心的人民陪审制改革</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365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谁来监督监督者——论监察委员会外部监督制约机制的权力路径</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366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水乳交融：法官职业伦理的自我型塑——以传统官箴与现代司法理念的融合为视角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367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司法裁判中的沟通理性研究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368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司法裁判中隐性因素的类型化及其规制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369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司法对金融创新产品的因应机制研究——基于113份裁决书的实证分析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370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司法改革背景下的错案问责制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371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司法改革背景下的法院院庭长办案制度研究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372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司法改革背景下法官惩戒责任制的文本分析与实践考察</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373</w:t>
            </w:r>
          </w:p>
        </w:tc>
        <w:tc>
          <w:tcPr>
            <w:tcW w:w="7296" w:type="dxa"/>
            <w:tcBorders>
              <w:top w:val="nil"/>
              <w:left w:val="nil"/>
              <w:bottom w:val="single" w:sz="4" w:space="0" w:color="auto"/>
              <w:right w:val="single" w:sz="4" w:space="0" w:color="auto"/>
            </w:tcBorders>
            <w:shd w:val="clear" w:color="auto" w:fill="auto"/>
            <w:vAlign w:val="center"/>
          </w:tcPr>
          <w:p w:rsidR="00DF7B5E" w:rsidRDefault="00522B35" w:rsidP="00522B35">
            <w:pPr>
              <w:widowControl/>
              <w:jc w:val="left"/>
              <w:rPr>
                <w:rFonts w:asciiTheme="minorEastAsia" w:hAnsiTheme="minorEastAsia" w:cs="宋体" w:hint="eastAsia"/>
                <w:color w:val="000000"/>
                <w:kern w:val="0"/>
                <w:sz w:val="32"/>
                <w:szCs w:val="32"/>
              </w:rPr>
            </w:pPr>
            <w:r w:rsidRPr="00522B35">
              <w:rPr>
                <w:rFonts w:asciiTheme="minorEastAsia" w:hAnsiTheme="minorEastAsia" w:cs="宋体" w:hint="eastAsia"/>
                <w:color w:val="000000"/>
                <w:kern w:val="0"/>
                <w:sz w:val="32"/>
                <w:szCs w:val="32"/>
              </w:rPr>
              <w:t>司法改革背景下法官离职倾向及关键性因素考察</w:t>
            </w:r>
          </w:p>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——基于H省311份法官调查问卷之SPSS统计分析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374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司法改革背景下回望民国中期司法官任职待遇保障——以江苏地区法院为中心</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375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司法改革背景下检察辅助人员管理模式的探索</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376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司法改革背景下检察一体化与司法责任制的完善</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377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司法改革背景下设立政法服务企业的构想——从法院购买社会服务的角度探索</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378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司法改革背景下审判团队建设：经验、理论与建构</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379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司法改革评价问题的三个维度</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380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司法改革如何走出“W”型曲线——基于司法调解历史数据的分析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381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司法改革视野下庭长办案机制的理性构建——以“审管分离”为进路</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382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司法改革语境下的视频庭审直播——基于上海法院数据的实证研究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383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司法公开的尺度与纬度——以X法院为研究对象</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384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司法公开的权源、基础及形式：基于知情权视角的分析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385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司法公开中的隐私权保护——一个有别于“权利冲突论”的视角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386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司法公信力的沟通之维——沟通理性作为司法正当性的外在论证</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387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司法公正的财政根源：历史经验与现实应对</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388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司法供给不足的破冰之路：大审判团队视野下的法官助理制度——以限权法官和法官助手并轨运行为进路</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389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司法过程中的伦理考量：以家事司法审判为例</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390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司法行政管理机构专业化设置构想</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391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司法救助制度现状解析、症状探究及模式重构</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392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司法判决中的指导案例</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393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司法权中央化改革的误区及修正</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394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司法确认制度运行的困境与出路——以S省P县近五年司法确认案件为样本</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395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司法审查中比例原则的正当性质疑及其“比例技术”的重新定位——基于“无人有义务做不可能之事”的正义原则</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396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司法受众心理维度与司法信息公正的建构探讨</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397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司法体系改革背景下法院内部组织模式研究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398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司法体制改革背景下基层法院内设机构设置之研究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399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司法员额动态退出机制的基本架构研究</w:t>
            </w:r>
          </w:p>
        </w:tc>
      </w:tr>
      <w:tr w:rsidR="00522B35" w:rsidRPr="00522B35" w:rsidTr="00DF7B5E">
        <w:trPr>
          <w:trHeight w:val="841"/>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400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司法责任制背景下检察官权力清单的调查与思考</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401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司法责任制背景下检察权运行机制与权力结构变化——兼对检察权与司法行政事务权关系的考察</w:t>
            </w:r>
          </w:p>
        </w:tc>
      </w:tr>
      <w:tr w:rsidR="00522B35" w:rsidRPr="00522B35" w:rsidTr="00DF7B5E">
        <w:trPr>
          <w:trHeight w:val="870"/>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402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司法责任制改革背景下检察官助理相关问题探析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403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司法责任制改革中检察官助理责任之思考——基于改革文本的解读与法理分析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404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司法正义之反思——从“社会最不利者”的视角切入</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405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司改背景下的民事裁判尺度——基于1000份调查问卷和576份判决书的思考</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406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司改背景下完善法官员额退出机制研究——以S省法院为例</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407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司改背景下中基层法院干警心理失衡现象及对策探究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408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司改语境下未入额法官协助办案问题研究——以破解案多人少矛盾为价值的分析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409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思维导图：法官何以发掘事实——从经验的逻辑向逻辑的经验转型</w:t>
            </w:r>
          </w:p>
        </w:tc>
      </w:tr>
      <w:tr w:rsidR="00522B35" w:rsidRPr="00522B35" w:rsidTr="00DF7B5E">
        <w:trPr>
          <w:trHeight w:val="810"/>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410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送达难：一个中国问题的思考</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411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诉讼外家事强制调解制度的构建</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412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他方主体参与基层法院审委会议事的理性范围及运行模式</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413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坦白从宽可以有多宽——刑事诉讼中认罪认罚从宽制度的内在逻辑与制度重构探究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414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特殊的审判：论司法责任制的诉讼构造</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415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提前与延迟两者得兼——论我国法官弹性退休制度之构建</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416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庭审实质化背景下刑事被告人庭审翻供的“消解”与“破解”——基于S省基层法院266件庭审翻供案件的实证分析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417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庭审实质化进一步推广的现实困境与制度资源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418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庭审证卷电子化之实务检视与制度构想</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419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庭审直播功能的定位与发展——以武汉市W法院为样本分析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420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完善行政执法和刑事司法衔接机制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421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完善我国刑事被害人救助制度的思考</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422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完善刑事法律援助制度研究——基于杭州市的实证分析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423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网络谣言型涉众事件的刑法评价及其革新</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424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网络著作权诉讼制度的异化与修正——基于BT网络、商业化维权的视角分析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425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未入额法官“协助办案”模式研究——以司法责任制为切入点</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426</w:t>
            </w:r>
          </w:p>
        </w:tc>
        <w:tc>
          <w:tcPr>
            <w:tcW w:w="7296" w:type="dxa"/>
            <w:tcBorders>
              <w:top w:val="nil"/>
              <w:left w:val="nil"/>
              <w:bottom w:val="single" w:sz="4" w:space="0" w:color="auto"/>
              <w:right w:val="single" w:sz="4" w:space="0" w:color="auto"/>
            </w:tcBorders>
            <w:shd w:val="clear" w:color="auto" w:fill="auto"/>
            <w:vAlign w:val="center"/>
          </w:tcPr>
          <w:p w:rsidR="00DF7B5E" w:rsidRDefault="00522B35" w:rsidP="00522B35">
            <w:pPr>
              <w:widowControl/>
              <w:jc w:val="left"/>
              <w:rPr>
                <w:rFonts w:asciiTheme="minorEastAsia" w:hAnsiTheme="minorEastAsia" w:cs="宋体" w:hint="eastAsia"/>
                <w:color w:val="000000"/>
                <w:kern w:val="0"/>
                <w:sz w:val="32"/>
                <w:szCs w:val="32"/>
              </w:rPr>
            </w:pPr>
            <w:r w:rsidRPr="00522B35">
              <w:rPr>
                <w:rFonts w:asciiTheme="minorEastAsia" w:hAnsiTheme="minorEastAsia" w:cs="宋体" w:hint="eastAsia"/>
                <w:color w:val="000000"/>
                <w:kern w:val="0"/>
                <w:sz w:val="32"/>
                <w:szCs w:val="32"/>
              </w:rPr>
              <w:t>问题与出路：对司法改革背景下送达困境的思考</w:t>
            </w:r>
          </w:p>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——以G省基层法院的送达实践为例</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427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问责惩戒与豁免保障：比较法视野下法官司法责任制研究——兼论我国法官司法责任制的完善进路</w:t>
            </w:r>
          </w:p>
        </w:tc>
      </w:tr>
      <w:tr w:rsidR="00522B35" w:rsidRPr="00522B35" w:rsidTr="00DF7B5E">
        <w:trPr>
          <w:trHeight w:val="766"/>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428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我国大陪审制的运行现状及完善思考</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429</w:t>
            </w:r>
          </w:p>
        </w:tc>
        <w:tc>
          <w:tcPr>
            <w:tcW w:w="7296" w:type="dxa"/>
            <w:tcBorders>
              <w:top w:val="nil"/>
              <w:left w:val="nil"/>
              <w:bottom w:val="single" w:sz="4" w:space="0" w:color="auto"/>
              <w:right w:val="single" w:sz="4" w:space="0" w:color="auto"/>
            </w:tcBorders>
            <w:shd w:val="clear" w:color="auto" w:fill="auto"/>
            <w:vAlign w:val="center"/>
          </w:tcPr>
          <w:p w:rsidR="00DF7B5E" w:rsidRDefault="00522B35" w:rsidP="00522B35">
            <w:pPr>
              <w:widowControl/>
              <w:jc w:val="left"/>
              <w:rPr>
                <w:rFonts w:asciiTheme="minorEastAsia" w:hAnsiTheme="minorEastAsia" w:cs="宋体" w:hint="eastAsia"/>
                <w:color w:val="000000"/>
                <w:kern w:val="0"/>
                <w:sz w:val="32"/>
                <w:szCs w:val="32"/>
              </w:rPr>
            </w:pPr>
            <w:r w:rsidRPr="00522B35">
              <w:rPr>
                <w:rFonts w:asciiTheme="minorEastAsia" w:hAnsiTheme="minorEastAsia" w:cs="宋体" w:hint="eastAsia"/>
                <w:color w:val="000000"/>
                <w:kern w:val="0"/>
                <w:sz w:val="32"/>
                <w:szCs w:val="32"/>
              </w:rPr>
              <w:t>我国电子商务消费纠纷多元化解决机制的构建</w:t>
            </w:r>
          </w:p>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——以欧盟消费争议解决机制为视角</w:t>
            </w:r>
          </w:p>
        </w:tc>
      </w:tr>
      <w:tr w:rsidR="00522B35" w:rsidRPr="00522B35" w:rsidTr="00DF7B5E">
        <w:trPr>
          <w:trHeight w:val="92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430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我国法官员额制改革背景下的法官选任制度研究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431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我国法官员额制改革中的问题与解决策略——以法官独立为视角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432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我国法院如何通过司法裁判执行公共政策——以法院贯彻“社会主义核心价值观”的案例为分析对象</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433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我国供述自愿性保障中的“堵”与“疏”——兼及口供供需理论的提出</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434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我国监察体制改革的效率之维——论基层腐败犯罪侦查机制的“底层设计”</w:t>
            </w:r>
          </w:p>
        </w:tc>
      </w:tr>
      <w:tr w:rsidR="00522B35" w:rsidRPr="00522B35" w:rsidTr="00DF7B5E">
        <w:trPr>
          <w:trHeight w:val="848"/>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435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我国检察官惩戒制度研究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436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我国检察机关内设机构设置的原理、历史与现实</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437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我国审委会通用议事规则之“理想图式”——以罗伯特议事规则为指引</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438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我国食品安全惩罚性赔偿立法的反思与完善——以经济法义务民事化归责的司法困境为视角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439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 xml:space="preserve">我国台湾地区反腐治理之制度与经验研究      </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440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我国再审机制现状与设立再审法院的设想——以我国再审制度的改革为视角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441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我国值班律师制度的功能定位及其展开——以认罪认罚从宽制度为视角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442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现实与规律的弥合：司法改革下要素式审判团队构建——以Y市法院的实证分析为视角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443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乡村治理中的司法治理——以一起邻里宅基地纠纷案为分析样本</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444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相马与赛马：中国初任法官选任机制实证研究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445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小额诉讼程序对案件分流的冷思考——从当事人适用程序视角出发</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446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心灵的探秘——试论心理测评在法官遴选机制中的引入与运用</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447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新时期人民法院保密工作发展的创新研究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448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新形势下城郊法院乡镇法庭“三集三分”新模式的路径探索——以S省P市法院的司法实践为样本</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449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新型检律关系的构建与发展——从“以审判为中心”的刑事诉讼制度改革视角出发</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450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信息化背景下的司法改革评估机制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451</w:t>
            </w:r>
          </w:p>
        </w:tc>
        <w:tc>
          <w:tcPr>
            <w:tcW w:w="7296" w:type="dxa"/>
            <w:tcBorders>
              <w:top w:val="nil"/>
              <w:left w:val="nil"/>
              <w:bottom w:val="single" w:sz="4" w:space="0" w:color="auto"/>
              <w:right w:val="single" w:sz="4" w:space="0" w:color="auto"/>
            </w:tcBorders>
            <w:shd w:val="clear" w:color="auto" w:fill="auto"/>
            <w:vAlign w:val="center"/>
          </w:tcPr>
          <w:p w:rsidR="00DF7B5E" w:rsidRDefault="00522B35" w:rsidP="00522B35">
            <w:pPr>
              <w:widowControl/>
              <w:jc w:val="left"/>
              <w:rPr>
                <w:rFonts w:asciiTheme="minorEastAsia" w:hAnsiTheme="minorEastAsia" w:cs="宋体" w:hint="eastAsia"/>
                <w:color w:val="000000"/>
                <w:kern w:val="0"/>
                <w:sz w:val="32"/>
                <w:szCs w:val="32"/>
              </w:rPr>
            </w:pPr>
            <w:r w:rsidRPr="00522B35">
              <w:rPr>
                <w:rFonts w:asciiTheme="minorEastAsia" w:hAnsiTheme="minorEastAsia" w:cs="宋体" w:hint="eastAsia"/>
                <w:color w:val="000000"/>
                <w:kern w:val="0"/>
                <w:sz w:val="32"/>
                <w:szCs w:val="32"/>
              </w:rPr>
              <w:t>信息化时代民事司法公信力提升的实现路径探析</w:t>
            </w:r>
          </w:p>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——基于审判流程管理信息化的实践样本</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452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刑事案件犯罪收益处理制度的构建——以镇海法院刑事案件犯罪收益处理实践为样本</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453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刑事案件速裁程序探析——以检察机关为视角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454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刑事裁判权在法官与陪审员之间的配置</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455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刑事裁判文书说理中的“常理”——基于对281 份裁判文书样本的实证研究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456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刑事撤案与刑事诉讼中逆向程序的检察监督</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457</w:t>
            </w:r>
          </w:p>
        </w:tc>
        <w:tc>
          <w:tcPr>
            <w:tcW w:w="7296" w:type="dxa"/>
            <w:tcBorders>
              <w:top w:val="nil"/>
              <w:left w:val="nil"/>
              <w:bottom w:val="single" w:sz="4" w:space="0" w:color="auto"/>
              <w:right w:val="single" w:sz="4" w:space="0" w:color="auto"/>
            </w:tcBorders>
            <w:shd w:val="clear" w:color="auto" w:fill="auto"/>
            <w:vAlign w:val="center"/>
          </w:tcPr>
          <w:p w:rsidR="00DF7B5E" w:rsidRDefault="00522B35" w:rsidP="00522B35">
            <w:pPr>
              <w:widowControl/>
              <w:jc w:val="left"/>
              <w:rPr>
                <w:rFonts w:asciiTheme="minorEastAsia" w:hAnsiTheme="minorEastAsia" w:cs="宋体" w:hint="eastAsia"/>
                <w:color w:val="000000"/>
                <w:kern w:val="0"/>
                <w:sz w:val="32"/>
                <w:szCs w:val="32"/>
              </w:rPr>
            </w:pPr>
            <w:r w:rsidRPr="00522B35">
              <w:rPr>
                <w:rFonts w:asciiTheme="minorEastAsia" w:hAnsiTheme="minorEastAsia" w:cs="宋体" w:hint="eastAsia"/>
                <w:color w:val="000000"/>
                <w:kern w:val="0"/>
                <w:sz w:val="32"/>
                <w:szCs w:val="32"/>
              </w:rPr>
              <w:t>刑事二审不开庭审理常态化现象透析与问题疏解</w:t>
            </w:r>
          </w:p>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——以D省Z市中院为分析样本</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458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刑事附带民事诉讼财产保全研究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459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刑事公开审判原则的实质化进路——以审判为中心的诉讼制度改革补遗</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460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刑事和解协议效力与刑事既判力——刑事和解“反悔”的事前阻遏及事后应对</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461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刑事拘留检察监督实证分析及其制度反思——以荣县公安局近三年刑事拘留数据为分析蓝本</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462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刑事扣押决定权归属的三种模式及其批判</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463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刑事书面言词证据效力问题探究——以职务犯罪案件笔录效力实务检视为出发点</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464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刑事司法证明中的专门知识：权力支配与认知偏差</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465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刑事诉讼进程调控机制论纲——关于刑事诉讼时间的一种创新性理论</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466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刑事诉讼中认罪认罚从宽处罚制度实证研究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467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刑事诉讼中认罪认罚从宽制度风险防范研究——以被告人认罪认罚的自愿性、合法性保障为视角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468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刑事速裁程序制度探微——以B市八家试点法院为研究样本</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469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刑事庭审实质化改革背景下定罪量刑适度分离改革实证调查报告</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470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刑事庭审实质化改革视野下的检察官审前会见证人制度探析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471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刑事证据制度与刑事冤假错案关系之厘清——兼议刑事证据的严格取、认、信与相关制度再造</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472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刑事执行派出检察院的机构建设与管理——以金山地区检察院“院处合一”改革为视角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473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寻求诉权与司法资源的平衡——立案登记制语境下行政诉讼原告资格的审视与探讨</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474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循证矫正视角下社区矫正适用电子监控的困境与路径</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475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阳光下的阴影：裁判文书上网过程中撤回机制的实证分析——从上海市122份撤回文书及文书上网司法解释的历次修订研究出发</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476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一条路径与三种模式：互联网时代未成年人刑事特别程序之改革面向</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477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医疗损害鉴定不信任问题实证研究——以上海市“一元化”模式为例</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478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依法正确处理上级检察机关领导权与下级检察机关依法独立行使检察权的关系</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479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依法治国语境下检察机关的性质与职权——兼论《人民检察院组织法》修改</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480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以法庭论辩为路径的刑事庭审实质化</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481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以服务审判为重心的法院内设机构改造——以“矩阵型”组织架构为理论工具</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482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以敲诈勒索罪规制信访行为的刑法分析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483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以审判为中心背景下刑事法官法庭调查情况微观探析——以C市210个刑事庭审实质化示范庭为样本</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484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以审判为中心的法院职能整合与机构设置——以法院权力的三元属性为基础</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485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以审判为中心的诉讼制度改革：大数据司法路径</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486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以审判为中心和实践状况双重视野下撤回起诉规范化研究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487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以审判为中心视角下的技侦材料作为定案根据使用问题实证研究——基于144份毒品犯</w:t>
            </w:r>
            <w:bookmarkStart w:id="0" w:name="_GoBack"/>
            <w:bookmarkEnd w:id="0"/>
            <w:r w:rsidRPr="00522B35">
              <w:rPr>
                <w:rFonts w:asciiTheme="minorEastAsia" w:hAnsiTheme="minorEastAsia" w:cs="宋体" w:hint="eastAsia"/>
                <w:color w:val="000000"/>
                <w:kern w:val="0"/>
                <w:sz w:val="32"/>
                <w:szCs w:val="32"/>
              </w:rPr>
              <w:t>罪案件一审裁判文书的分析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488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以审判为中心视野下大陆检警关系之反思与重构</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489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以司法公正为标尺刻划网络舆论监督的边际线</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490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英国被告人认罪制度研究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491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英国刑事错案纠正机制及其对我国的启示</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492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应然与实然：中国法官薪酬待遇研究——以2660份调查问卷为样本的分析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493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用轮岗进一步塑造卓有成效的法官</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494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优化与回应：民事案件繁简分流机制新发展之路径探究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495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优秀公诉人如何生成——以全国十佳为样本的分析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496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由检察权属性探析检察机关司法责任制改革——兼论改革路径的实践发展</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497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与员额制改革相衔接的“中国式治安法官制度”的构建——兼议诉讼案件“有效分流”的要件与路径</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498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冤假错案机制成因及检察环节的防范对策</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499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员额检察官退出机制研究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500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员额制背景下法官助理的成长之路——以S市法官助理制度改革为突破口</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501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员额制法官检察官退出机制的探索与实践——以山西省为例</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502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员额制改革证实研究——“以案定员”数学模型提出及应用研究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503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 xml:space="preserve">员额制后基层法院分案模式的解析和重构——以N市法院数据为分析样本　</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504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院庭长办案：实践悖论与制度重塑——基于对C省E市院庭长办案的实证分析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505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院庭长办案的实证研究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506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院庭长的权力角色冲突及其解决</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507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院庭长审判管理监督职责清单制度的厘定与构建</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508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院长开庭：审判与领导功能的再定位——以员额制为视野的审判改革深入</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509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在合法与非法之间：取证策略与有罪供述效力的理性思辩——以欺骗取证排除规则的适用为视角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510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在司法体制改革中完善党委政法委职能的思考</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511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在无罪抗辩与有罪说理之间——围绕辩审反差与审辩关联的实证研究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512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怎样才是好法官——法官评价标准的反思与重构</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513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侦查权性质与侦查模式转型</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514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甄辩中的选择：论基层法院行政诉讼的优化路径</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515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证据裁判视野下报复性指控的司法认定——基于若干典型案例的经验研究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516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证据开示与自主辩护：刑事被追诉人阅卷权问题研究</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517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证据制度视角下冤假错案防范机制研究——以建立客观性证据审查模式为核心</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518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证券金融检察制度路径改革</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519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证人翻证的理性透视与司法应对——基于庭审实质化改革视角的考察</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520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知识产权机会主义诉讼的识别与规制——从制度经济学“成本—效益”模型出发的分析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521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知识产权上诉法院构建的本土化思维与现实路径</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522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职业养成型法学教育的反思与形塑——以法律职业共同体为视角</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523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指导性案例的“隐形适用”问题及实践启示——从一起基于第24号指导案例的改判案件说起</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524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制度设计：检察机关提起公益诉讼十二题</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525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秩序抑或人权：司法精神鉴定的规则选择</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526</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智慧检务的认识论、方法论、实践论初探</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527</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中国审前羁押司法控制改良论</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528</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中国司法信息化建设下的司法数据应用分析——以吉林省法院司法数据应用为研究样本</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529</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中国司法运作过程中的府院联席会议及其机制分析</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530</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 xml:space="preserve">中国刑事司法程序发展的内在逻辑——从主体性到主体间性的共时性实现 </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531</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专业法官会议之辅助决策机制的重塑</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532</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追溯与探求：法院开放日的功能审视与路径完善</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533</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组织法修改与乡镇检察室的立法完善</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534</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最高人民法院巡回法庭的探索——中国特色司法文明的重要载体</w:t>
            </w:r>
          </w:p>
        </w:tc>
      </w:tr>
      <w:tr w:rsidR="00522B35" w:rsidRPr="00522B35" w:rsidTr="00522B35">
        <w:trPr>
          <w:trHeight w:val="702"/>
          <w:jc w:val="center"/>
        </w:trPr>
        <w:tc>
          <w:tcPr>
            <w:tcW w:w="1037" w:type="dxa"/>
            <w:tcBorders>
              <w:top w:val="nil"/>
              <w:left w:val="single" w:sz="4" w:space="0" w:color="auto"/>
              <w:bottom w:val="single" w:sz="4" w:space="0" w:color="auto"/>
              <w:right w:val="single" w:sz="4" w:space="0" w:color="auto"/>
            </w:tcBorders>
            <w:shd w:val="clear" w:color="auto" w:fill="auto"/>
            <w:vAlign w:val="center"/>
          </w:tcPr>
          <w:p w:rsidR="00522B35" w:rsidRPr="00522B35" w:rsidRDefault="00522B35" w:rsidP="00522B35">
            <w:pPr>
              <w:widowControl/>
              <w:jc w:val="center"/>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535</w:t>
            </w:r>
          </w:p>
        </w:tc>
        <w:tc>
          <w:tcPr>
            <w:tcW w:w="7296" w:type="dxa"/>
            <w:tcBorders>
              <w:top w:val="nil"/>
              <w:left w:val="nil"/>
              <w:bottom w:val="single" w:sz="4" w:space="0" w:color="auto"/>
              <w:right w:val="single" w:sz="4" w:space="0" w:color="auto"/>
            </w:tcBorders>
            <w:shd w:val="clear" w:color="auto" w:fill="auto"/>
            <w:vAlign w:val="center"/>
          </w:tcPr>
          <w:p w:rsidR="00522B35" w:rsidRPr="00522B35" w:rsidRDefault="00522B35" w:rsidP="00522B35">
            <w:pPr>
              <w:widowControl/>
              <w:jc w:val="left"/>
              <w:rPr>
                <w:rFonts w:asciiTheme="minorEastAsia" w:hAnsiTheme="minorEastAsia" w:cs="宋体"/>
                <w:color w:val="000000"/>
                <w:kern w:val="0"/>
                <w:sz w:val="32"/>
                <w:szCs w:val="32"/>
              </w:rPr>
            </w:pPr>
            <w:r w:rsidRPr="00522B35">
              <w:rPr>
                <w:rFonts w:asciiTheme="minorEastAsia" w:hAnsiTheme="minorEastAsia" w:cs="宋体" w:hint="eastAsia"/>
                <w:color w:val="000000"/>
                <w:kern w:val="0"/>
                <w:sz w:val="32"/>
                <w:szCs w:val="32"/>
              </w:rPr>
              <w:t>最佳预防视野下登记干预惩戒规则之检视——兼论登记干预之实现</w:t>
            </w:r>
          </w:p>
        </w:tc>
      </w:tr>
    </w:tbl>
    <w:p w:rsidR="001D6E64" w:rsidRPr="00711E2B" w:rsidRDefault="001D6E64" w:rsidP="001D6E64">
      <w:pPr>
        <w:rPr>
          <w:rFonts w:asciiTheme="minorEastAsia" w:hAnsiTheme="minorEastAsia"/>
          <w:sz w:val="32"/>
          <w:szCs w:val="32"/>
        </w:rPr>
      </w:pPr>
    </w:p>
    <w:p w:rsidR="001D6E64" w:rsidRPr="00711E2B" w:rsidRDefault="001D6E64" w:rsidP="001D6E64">
      <w:pPr>
        <w:rPr>
          <w:rFonts w:asciiTheme="minorEastAsia" w:hAnsiTheme="minorEastAsia"/>
          <w:sz w:val="32"/>
          <w:szCs w:val="32"/>
        </w:rPr>
      </w:pPr>
    </w:p>
    <w:sectPr w:rsidR="001D6E64" w:rsidRPr="00711E2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1B8" w:rsidRDefault="00C151B8" w:rsidP="000E6804">
      <w:r>
        <w:separator/>
      </w:r>
    </w:p>
  </w:endnote>
  <w:endnote w:type="continuationSeparator" w:id="0">
    <w:p w:rsidR="00C151B8" w:rsidRDefault="00C151B8" w:rsidP="000E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950482"/>
      <w:docPartObj>
        <w:docPartGallery w:val="Page Numbers (Bottom of Page)"/>
        <w:docPartUnique/>
      </w:docPartObj>
    </w:sdtPr>
    <w:sdtContent>
      <w:p w:rsidR="00711E2B" w:rsidRDefault="00711E2B">
        <w:pPr>
          <w:pStyle w:val="a4"/>
          <w:jc w:val="center"/>
        </w:pPr>
        <w:r>
          <w:fldChar w:fldCharType="begin"/>
        </w:r>
        <w:r>
          <w:instrText>PAGE   \* MERGEFORMAT</w:instrText>
        </w:r>
        <w:r>
          <w:fldChar w:fldCharType="separate"/>
        </w:r>
        <w:r w:rsidR="00C151B8" w:rsidRPr="00C151B8">
          <w:rPr>
            <w:noProof/>
            <w:lang w:val="zh-CN"/>
          </w:rPr>
          <w:t>1</w:t>
        </w:r>
        <w:r>
          <w:fldChar w:fldCharType="end"/>
        </w:r>
      </w:p>
    </w:sdtContent>
  </w:sdt>
  <w:p w:rsidR="00711E2B" w:rsidRDefault="00711E2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1B8" w:rsidRDefault="00C151B8" w:rsidP="000E6804">
      <w:r>
        <w:separator/>
      </w:r>
    </w:p>
  </w:footnote>
  <w:footnote w:type="continuationSeparator" w:id="0">
    <w:p w:rsidR="00C151B8" w:rsidRDefault="00C151B8" w:rsidP="000E6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64"/>
    <w:rsid w:val="000E6804"/>
    <w:rsid w:val="001D6E64"/>
    <w:rsid w:val="00346A77"/>
    <w:rsid w:val="004C6F7E"/>
    <w:rsid w:val="00522B35"/>
    <w:rsid w:val="00711E2B"/>
    <w:rsid w:val="008138D5"/>
    <w:rsid w:val="00A12AC2"/>
    <w:rsid w:val="00B51844"/>
    <w:rsid w:val="00C151B8"/>
    <w:rsid w:val="00DF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68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6804"/>
    <w:rPr>
      <w:sz w:val="18"/>
      <w:szCs w:val="18"/>
    </w:rPr>
  </w:style>
  <w:style w:type="paragraph" w:styleId="a4">
    <w:name w:val="footer"/>
    <w:basedOn w:val="a"/>
    <w:link w:val="Char0"/>
    <w:uiPriority w:val="99"/>
    <w:unhideWhenUsed/>
    <w:rsid w:val="000E6804"/>
    <w:pPr>
      <w:tabs>
        <w:tab w:val="center" w:pos="4153"/>
        <w:tab w:val="right" w:pos="8306"/>
      </w:tabs>
      <w:snapToGrid w:val="0"/>
      <w:jc w:val="left"/>
    </w:pPr>
    <w:rPr>
      <w:sz w:val="18"/>
      <w:szCs w:val="18"/>
    </w:rPr>
  </w:style>
  <w:style w:type="character" w:customStyle="1" w:styleId="Char0">
    <w:name w:val="页脚 Char"/>
    <w:basedOn w:val="a0"/>
    <w:link w:val="a4"/>
    <w:uiPriority w:val="99"/>
    <w:rsid w:val="000E68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68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6804"/>
    <w:rPr>
      <w:sz w:val="18"/>
      <w:szCs w:val="18"/>
    </w:rPr>
  </w:style>
  <w:style w:type="paragraph" w:styleId="a4">
    <w:name w:val="footer"/>
    <w:basedOn w:val="a"/>
    <w:link w:val="Char0"/>
    <w:uiPriority w:val="99"/>
    <w:unhideWhenUsed/>
    <w:rsid w:val="000E6804"/>
    <w:pPr>
      <w:tabs>
        <w:tab w:val="center" w:pos="4153"/>
        <w:tab w:val="right" w:pos="8306"/>
      </w:tabs>
      <w:snapToGrid w:val="0"/>
      <w:jc w:val="left"/>
    </w:pPr>
    <w:rPr>
      <w:sz w:val="18"/>
      <w:szCs w:val="18"/>
    </w:rPr>
  </w:style>
  <w:style w:type="character" w:customStyle="1" w:styleId="Char0">
    <w:name w:val="页脚 Char"/>
    <w:basedOn w:val="a0"/>
    <w:link w:val="a4"/>
    <w:uiPriority w:val="99"/>
    <w:rsid w:val="000E68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506864">
      <w:bodyDiv w:val="1"/>
      <w:marLeft w:val="0"/>
      <w:marRight w:val="0"/>
      <w:marTop w:val="0"/>
      <w:marBottom w:val="0"/>
      <w:divBdr>
        <w:top w:val="none" w:sz="0" w:space="0" w:color="auto"/>
        <w:left w:val="none" w:sz="0" w:space="0" w:color="auto"/>
        <w:bottom w:val="none" w:sz="0" w:space="0" w:color="auto"/>
        <w:right w:val="none" w:sz="0" w:space="0" w:color="auto"/>
      </w:divBdr>
    </w:div>
    <w:div w:id="1713770640">
      <w:bodyDiv w:val="1"/>
      <w:marLeft w:val="0"/>
      <w:marRight w:val="0"/>
      <w:marTop w:val="0"/>
      <w:marBottom w:val="0"/>
      <w:divBdr>
        <w:top w:val="none" w:sz="0" w:space="0" w:color="auto"/>
        <w:left w:val="none" w:sz="0" w:space="0" w:color="auto"/>
        <w:bottom w:val="none" w:sz="0" w:space="0" w:color="auto"/>
        <w:right w:val="none" w:sz="0" w:space="0" w:color="auto"/>
      </w:divBdr>
    </w:div>
    <w:div w:id="190644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43</Pages>
  <Words>2653</Words>
  <Characters>15125</Characters>
  <Application>Microsoft Office Word</Application>
  <DocSecurity>0</DocSecurity>
  <Lines>126</Lines>
  <Paragraphs>35</Paragraphs>
  <ScaleCrop>false</ScaleCrop>
  <Company/>
  <LinksUpToDate>false</LinksUpToDate>
  <CharactersWithSpaces>17743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yangli</dc:creator>
  <cp:lastModifiedBy>2201-192</cp:lastModifiedBy>
  <cp:revision>3</cp:revision>
  <dcterms:created xsi:type="dcterms:W3CDTF">2017-06-30T06:52:00Z</dcterms:created>
  <dcterms:modified xsi:type="dcterms:W3CDTF">2017-06-30T07:07:00Z</dcterms:modified>
</cp:coreProperties>
</file>