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13" w:rsidRDefault="00605F13" w:rsidP="00F619BE">
      <w:pPr>
        <w:adjustRightInd w:val="0"/>
        <w:snapToGrid w:val="0"/>
        <w:spacing w:line="540" w:lineRule="exact"/>
        <w:jc w:val="center"/>
        <w:rPr>
          <w:b/>
          <w:sz w:val="36"/>
          <w:szCs w:val="36"/>
        </w:rPr>
      </w:pPr>
      <w:bookmarkStart w:id="0" w:name="_GoBack"/>
      <w:bookmarkEnd w:id="0"/>
      <w:r w:rsidRPr="00B16ACF">
        <w:rPr>
          <w:rFonts w:hint="eastAsia"/>
          <w:b/>
          <w:sz w:val="36"/>
          <w:szCs w:val="36"/>
        </w:rPr>
        <w:t>第</w:t>
      </w:r>
      <w:r>
        <w:rPr>
          <w:rFonts w:hint="eastAsia"/>
          <w:b/>
          <w:sz w:val="36"/>
          <w:szCs w:val="36"/>
        </w:rPr>
        <w:t>十一</w:t>
      </w:r>
      <w:r w:rsidRPr="00B16ACF">
        <w:rPr>
          <w:rFonts w:hint="eastAsia"/>
          <w:b/>
          <w:sz w:val="36"/>
          <w:szCs w:val="36"/>
        </w:rPr>
        <w:t>届</w:t>
      </w:r>
      <w:r>
        <w:rPr>
          <w:rFonts w:hint="eastAsia"/>
          <w:b/>
          <w:sz w:val="36"/>
          <w:szCs w:val="36"/>
        </w:rPr>
        <w:t>“长三角法学</w:t>
      </w:r>
      <w:r w:rsidRPr="00B16ACF">
        <w:rPr>
          <w:rFonts w:hint="eastAsia"/>
          <w:b/>
          <w:sz w:val="36"/>
          <w:szCs w:val="36"/>
        </w:rPr>
        <w:t>论坛</w:t>
      </w:r>
      <w:r>
        <w:rPr>
          <w:rFonts w:hint="eastAsia"/>
          <w:b/>
          <w:sz w:val="36"/>
          <w:szCs w:val="36"/>
        </w:rPr>
        <w:t>”</w:t>
      </w:r>
      <w:r w:rsidR="008B31BB">
        <w:rPr>
          <w:rFonts w:hint="eastAsia"/>
          <w:b/>
          <w:sz w:val="36"/>
          <w:szCs w:val="36"/>
        </w:rPr>
        <w:t>拟</w:t>
      </w:r>
      <w:r w:rsidRPr="00B16ACF">
        <w:rPr>
          <w:rFonts w:hint="eastAsia"/>
          <w:b/>
          <w:sz w:val="36"/>
          <w:szCs w:val="36"/>
        </w:rPr>
        <w:t>获奖论文</w:t>
      </w:r>
      <w:r>
        <w:rPr>
          <w:rFonts w:hint="eastAsia"/>
          <w:b/>
          <w:sz w:val="36"/>
          <w:szCs w:val="36"/>
        </w:rPr>
        <w:t>名单</w:t>
      </w:r>
    </w:p>
    <w:p w:rsidR="00605F13" w:rsidRPr="00605F13" w:rsidRDefault="008B6B54" w:rsidP="00F619BE">
      <w:pPr>
        <w:adjustRightInd w:val="0"/>
        <w:snapToGrid w:val="0"/>
        <w:spacing w:line="54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 w:rsidR="00605F13" w:rsidRPr="00605F13">
        <w:rPr>
          <w:rFonts w:hint="eastAsia"/>
          <w:b/>
          <w:sz w:val="28"/>
          <w:szCs w:val="28"/>
        </w:rPr>
        <w:t>排名不分先后</w:t>
      </w:r>
      <w:r>
        <w:rPr>
          <w:rFonts w:hint="eastAsia"/>
          <w:b/>
          <w:sz w:val="28"/>
          <w:szCs w:val="28"/>
        </w:rPr>
        <w:t>）</w:t>
      </w:r>
    </w:p>
    <w:tbl>
      <w:tblPr>
        <w:tblStyle w:val="aa"/>
        <w:tblW w:w="9498" w:type="dxa"/>
        <w:tblInd w:w="-318" w:type="dxa"/>
        <w:tblLook w:val="04A0" w:firstRow="1" w:lastRow="0" w:firstColumn="1" w:lastColumn="0" w:noHBand="0" w:noVBand="1"/>
      </w:tblPr>
      <w:tblGrid>
        <w:gridCol w:w="3828"/>
        <w:gridCol w:w="142"/>
        <w:gridCol w:w="1134"/>
        <w:gridCol w:w="4394"/>
      </w:tblGrid>
      <w:tr w:rsidR="00605F13" w:rsidRPr="00605F13" w:rsidTr="00367DCA">
        <w:trPr>
          <w:trHeight w:hRule="exact" w:val="737"/>
        </w:trPr>
        <w:tc>
          <w:tcPr>
            <w:tcW w:w="9498" w:type="dxa"/>
            <w:gridSpan w:val="4"/>
            <w:vAlign w:val="center"/>
          </w:tcPr>
          <w:p w:rsidR="00605F13" w:rsidRPr="00605F13" w:rsidRDefault="00605F13" w:rsidP="00367DCA">
            <w:pPr>
              <w:spacing w:line="24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b/>
                <w:sz w:val="28"/>
                <w:szCs w:val="28"/>
              </w:rPr>
              <w:t>一等奖（6篇）</w:t>
            </w:r>
          </w:p>
        </w:tc>
      </w:tr>
      <w:tr w:rsidR="00605F13" w:rsidRPr="00605F13" w:rsidTr="00367DCA">
        <w:trPr>
          <w:trHeight w:hRule="exact" w:val="737"/>
        </w:trPr>
        <w:tc>
          <w:tcPr>
            <w:tcW w:w="3828" w:type="dxa"/>
            <w:vAlign w:val="center"/>
          </w:tcPr>
          <w:p w:rsidR="00605F13" w:rsidRPr="00605F13" w:rsidRDefault="00605F13" w:rsidP="00367DCA">
            <w:pPr>
              <w:spacing w:line="24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b/>
                <w:sz w:val="28"/>
                <w:szCs w:val="28"/>
              </w:rPr>
              <w:t>题目</w:t>
            </w:r>
          </w:p>
        </w:tc>
        <w:tc>
          <w:tcPr>
            <w:tcW w:w="1276" w:type="dxa"/>
            <w:gridSpan w:val="2"/>
            <w:vAlign w:val="center"/>
          </w:tcPr>
          <w:p w:rsidR="00605F13" w:rsidRPr="00605F13" w:rsidRDefault="00605F13" w:rsidP="00367DCA">
            <w:pPr>
              <w:spacing w:line="24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b/>
                <w:sz w:val="28"/>
                <w:szCs w:val="28"/>
              </w:rPr>
              <w:t>作者</w:t>
            </w:r>
          </w:p>
        </w:tc>
        <w:tc>
          <w:tcPr>
            <w:tcW w:w="4394" w:type="dxa"/>
            <w:vAlign w:val="center"/>
          </w:tcPr>
          <w:p w:rsidR="00605F13" w:rsidRPr="00605F13" w:rsidRDefault="00605F13" w:rsidP="00367DCA">
            <w:pPr>
              <w:spacing w:line="24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b/>
                <w:sz w:val="28"/>
                <w:szCs w:val="28"/>
              </w:rPr>
              <w:t>单位</w:t>
            </w:r>
          </w:p>
        </w:tc>
      </w:tr>
      <w:tr w:rsidR="00605F13" w:rsidRPr="00605F13" w:rsidTr="00367DCA">
        <w:trPr>
          <w:trHeight w:hRule="exact" w:val="778"/>
        </w:trPr>
        <w:tc>
          <w:tcPr>
            <w:tcW w:w="3828" w:type="dxa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中国（上海）自贸试验区竞争中立制度承诺研究</w:t>
            </w:r>
          </w:p>
        </w:tc>
        <w:tc>
          <w:tcPr>
            <w:tcW w:w="1276" w:type="dxa"/>
            <w:gridSpan w:val="2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t>张占江</w:t>
            </w:r>
          </w:p>
        </w:tc>
        <w:tc>
          <w:tcPr>
            <w:tcW w:w="4394" w:type="dxa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  <w:lang w:eastAsia="zh-TW"/>
              </w:rPr>
              <w:t>上海财经大学法学院</w:t>
            </w:r>
          </w:p>
        </w:tc>
      </w:tr>
      <w:tr w:rsidR="00605F13" w:rsidRPr="00605F13" w:rsidTr="00F619BE">
        <w:trPr>
          <w:trHeight w:hRule="exact" w:val="1155"/>
        </w:trPr>
        <w:tc>
          <w:tcPr>
            <w:tcW w:w="3828" w:type="dxa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中国（上海）自由贸易试验区负面清单的法律地位及其调整</w:t>
            </w:r>
          </w:p>
        </w:tc>
        <w:tc>
          <w:tcPr>
            <w:tcW w:w="1276" w:type="dxa"/>
            <w:gridSpan w:val="2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申海平</w:t>
            </w:r>
          </w:p>
        </w:tc>
        <w:tc>
          <w:tcPr>
            <w:tcW w:w="4394" w:type="dxa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上海市行政法制研究所</w:t>
            </w:r>
          </w:p>
        </w:tc>
      </w:tr>
      <w:tr w:rsidR="00605F13" w:rsidRPr="00605F13" w:rsidTr="00F619BE">
        <w:trPr>
          <w:trHeight w:hRule="exact" w:val="999"/>
        </w:trPr>
        <w:tc>
          <w:tcPr>
            <w:tcW w:w="3828" w:type="dxa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上海自贸区与中美BIT“负面清单”的协同创新研究</w:t>
            </w:r>
          </w:p>
        </w:tc>
        <w:tc>
          <w:tcPr>
            <w:tcW w:w="1276" w:type="dxa"/>
            <w:gridSpan w:val="2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梁咏</w:t>
            </w:r>
          </w:p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冯佳欢</w:t>
            </w:r>
          </w:p>
        </w:tc>
        <w:tc>
          <w:tcPr>
            <w:tcW w:w="4394" w:type="dxa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复旦大学法学院</w:t>
            </w:r>
          </w:p>
        </w:tc>
      </w:tr>
      <w:tr w:rsidR="00605F13" w:rsidRPr="00605F13" w:rsidTr="00F619BE">
        <w:trPr>
          <w:trHeight w:hRule="exact" w:val="973"/>
        </w:trPr>
        <w:tc>
          <w:tcPr>
            <w:tcW w:w="3828" w:type="dxa"/>
            <w:vAlign w:val="center"/>
          </w:tcPr>
          <w:p w:rsidR="00605F13" w:rsidRPr="00605F13" w:rsidRDefault="00605F13" w:rsidP="00F619BE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国际税收竞争与协调视角下的离岸贸易税制研究</w:t>
            </w:r>
          </w:p>
        </w:tc>
        <w:tc>
          <w:tcPr>
            <w:tcW w:w="1276" w:type="dxa"/>
            <w:gridSpan w:val="2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605F13">
              <w:rPr>
                <w:rFonts w:ascii="仿宋" w:eastAsia="仿宋" w:hAnsi="仿宋" w:hint="eastAsia"/>
                <w:sz w:val="28"/>
                <w:szCs w:val="28"/>
              </w:rPr>
              <w:t>胡苑</w:t>
            </w:r>
            <w:proofErr w:type="gramEnd"/>
          </w:p>
        </w:tc>
        <w:tc>
          <w:tcPr>
            <w:tcW w:w="4394" w:type="dxa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上海财经大学法学院</w:t>
            </w:r>
          </w:p>
        </w:tc>
      </w:tr>
      <w:tr w:rsidR="00605F13" w:rsidRPr="00605F13" w:rsidTr="00F619BE">
        <w:trPr>
          <w:trHeight w:hRule="exact" w:val="876"/>
        </w:trPr>
        <w:tc>
          <w:tcPr>
            <w:tcW w:w="3828" w:type="dxa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论自贸区的司法功能定位及其政治远景</w:t>
            </w:r>
          </w:p>
        </w:tc>
        <w:tc>
          <w:tcPr>
            <w:tcW w:w="1276" w:type="dxa"/>
            <w:gridSpan w:val="2"/>
            <w:vAlign w:val="center"/>
          </w:tcPr>
          <w:p w:rsidR="00605F13" w:rsidRPr="00605F13" w:rsidRDefault="00605F13" w:rsidP="00367DCA">
            <w:pPr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陈洪杰</w:t>
            </w:r>
          </w:p>
        </w:tc>
        <w:tc>
          <w:tcPr>
            <w:tcW w:w="4394" w:type="dxa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上海财经大学法学院</w:t>
            </w:r>
          </w:p>
        </w:tc>
      </w:tr>
      <w:tr w:rsidR="00605F13" w:rsidRPr="00605F13" w:rsidTr="00F619BE">
        <w:trPr>
          <w:trHeight w:hRule="exact" w:val="817"/>
        </w:trPr>
        <w:tc>
          <w:tcPr>
            <w:tcW w:w="3828" w:type="dxa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论自贸区行政审批制度改革的“先行先试”</w:t>
            </w:r>
          </w:p>
        </w:tc>
        <w:tc>
          <w:tcPr>
            <w:tcW w:w="1276" w:type="dxa"/>
            <w:gridSpan w:val="2"/>
            <w:vAlign w:val="center"/>
          </w:tcPr>
          <w:p w:rsidR="00605F13" w:rsidRPr="00605F13" w:rsidRDefault="00605F13" w:rsidP="00367DCA">
            <w:pPr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王诚</w:t>
            </w:r>
          </w:p>
        </w:tc>
        <w:tc>
          <w:tcPr>
            <w:tcW w:w="4394" w:type="dxa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上海对外经贸大学法学院</w:t>
            </w:r>
          </w:p>
        </w:tc>
      </w:tr>
      <w:tr w:rsidR="00605F13" w:rsidRPr="00605F13" w:rsidTr="00367DCA">
        <w:trPr>
          <w:trHeight w:hRule="exact" w:val="737"/>
        </w:trPr>
        <w:tc>
          <w:tcPr>
            <w:tcW w:w="9498" w:type="dxa"/>
            <w:gridSpan w:val="4"/>
            <w:vAlign w:val="center"/>
          </w:tcPr>
          <w:p w:rsidR="00605F13" w:rsidRPr="00605F13" w:rsidRDefault="00605F13" w:rsidP="00367DCA">
            <w:pPr>
              <w:spacing w:line="24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b/>
                <w:sz w:val="28"/>
                <w:szCs w:val="28"/>
              </w:rPr>
              <w:t>二等奖（12篇）</w:t>
            </w:r>
          </w:p>
        </w:tc>
      </w:tr>
      <w:tr w:rsidR="00605F13" w:rsidRPr="00605F13" w:rsidTr="00367DCA">
        <w:trPr>
          <w:trHeight w:hRule="exact" w:val="737"/>
        </w:trPr>
        <w:tc>
          <w:tcPr>
            <w:tcW w:w="3828" w:type="dxa"/>
            <w:vAlign w:val="center"/>
          </w:tcPr>
          <w:p w:rsidR="00605F13" w:rsidRPr="00605F13" w:rsidRDefault="00605F13" w:rsidP="00367DCA">
            <w:pPr>
              <w:spacing w:line="24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b/>
                <w:sz w:val="28"/>
                <w:szCs w:val="28"/>
              </w:rPr>
              <w:t>题目</w:t>
            </w:r>
          </w:p>
        </w:tc>
        <w:tc>
          <w:tcPr>
            <w:tcW w:w="1276" w:type="dxa"/>
            <w:gridSpan w:val="2"/>
            <w:vAlign w:val="center"/>
          </w:tcPr>
          <w:p w:rsidR="00605F13" w:rsidRPr="00605F13" w:rsidRDefault="00605F13" w:rsidP="00367DCA">
            <w:pPr>
              <w:spacing w:line="24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b/>
                <w:sz w:val="28"/>
                <w:szCs w:val="28"/>
              </w:rPr>
              <w:t>作者</w:t>
            </w:r>
          </w:p>
        </w:tc>
        <w:tc>
          <w:tcPr>
            <w:tcW w:w="4394" w:type="dxa"/>
            <w:vAlign w:val="center"/>
          </w:tcPr>
          <w:p w:rsidR="00605F13" w:rsidRPr="00605F13" w:rsidRDefault="00605F13" w:rsidP="00367DCA">
            <w:pPr>
              <w:spacing w:line="24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b/>
                <w:sz w:val="28"/>
                <w:szCs w:val="28"/>
              </w:rPr>
              <w:t>单位</w:t>
            </w:r>
          </w:p>
        </w:tc>
      </w:tr>
      <w:tr w:rsidR="00605F13" w:rsidRPr="00605F13" w:rsidTr="00F619BE">
        <w:trPr>
          <w:trHeight w:hRule="exact" w:val="978"/>
        </w:trPr>
        <w:tc>
          <w:tcPr>
            <w:tcW w:w="3828" w:type="dxa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自由贸易试验区知识产权海关保护的困境及其应对</w:t>
            </w:r>
          </w:p>
        </w:tc>
        <w:tc>
          <w:tcPr>
            <w:tcW w:w="1276" w:type="dxa"/>
            <w:gridSpan w:val="2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许春明</w:t>
            </w:r>
          </w:p>
        </w:tc>
        <w:tc>
          <w:tcPr>
            <w:tcW w:w="4394" w:type="dxa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上海大学知识产权学院</w:t>
            </w:r>
          </w:p>
        </w:tc>
      </w:tr>
      <w:tr w:rsidR="00605F13" w:rsidRPr="00605F13" w:rsidTr="00367DCA">
        <w:trPr>
          <w:trHeight w:hRule="exact" w:val="737"/>
        </w:trPr>
        <w:tc>
          <w:tcPr>
            <w:tcW w:w="3828" w:type="dxa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上海自贸区金融创新与法律对策</w:t>
            </w:r>
          </w:p>
        </w:tc>
        <w:tc>
          <w:tcPr>
            <w:tcW w:w="1276" w:type="dxa"/>
            <w:gridSpan w:val="2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刘正  </w:t>
            </w:r>
          </w:p>
        </w:tc>
        <w:tc>
          <w:tcPr>
            <w:tcW w:w="4394" w:type="dxa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南京财经大学法学院</w:t>
            </w:r>
          </w:p>
        </w:tc>
      </w:tr>
      <w:tr w:rsidR="00605F13" w:rsidRPr="00605F13" w:rsidTr="00F619BE">
        <w:trPr>
          <w:trHeight w:hRule="exact" w:val="818"/>
        </w:trPr>
        <w:tc>
          <w:tcPr>
            <w:tcW w:w="3828" w:type="dxa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605F13">
              <w:rPr>
                <w:rFonts w:ascii="仿宋" w:eastAsia="仿宋" w:hAnsi="仿宋" w:hint="eastAsia"/>
                <w:sz w:val="28"/>
                <w:szCs w:val="28"/>
              </w:rPr>
              <w:t>涉自贸</w:t>
            </w:r>
            <w:proofErr w:type="gramEnd"/>
            <w:r w:rsidRPr="00605F13">
              <w:rPr>
                <w:rFonts w:ascii="仿宋" w:eastAsia="仿宋" w:hAnsi="仿宋" w:hint="eastAsia"/>
                <w:sz w:val="28"/>
                <w:szCs w:val="28"/>
              </w:rPr>
              <w:t>区行政行为对法院司法审查带来的新挑战</w:t>
            </w:r>
          </w:p>
        </w:tc>
        <w:tc>
          <w:tcPr>
            <w:tcW w:w="1276" w:type="dxa"/>
            <w:gridSpan w:val="2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丁晓华</w:t>
            </w:r>
          </w:p>
        </w:tc>
        <w:tc>
          <w:tcPr>
            <w:tcW w:w="4394" w:type="dxa"/>
            <w:vAlign w:val="center"/>
          </w:tcPr>
          <w:p w:rsidR="00605F13" w:rsidRPr="00605F13" w:rsidRDefault="00EF4FAB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上海市</w:t>
            </w:r>
            <w:r w:rsidR="00605F13" w:rsidRPr="00605F13">
              <w:rPr>
                <w:rFonts w:ascii="仿宋" w:eastAsia="仿宋" w:hAnsi="仿宋" w:hint="eastAsia"/>
                <w:sz w:val="28"/>
                <w:szCs w:val="28"/>
              </w:rPr>
              <w:t>浦东</w:t>
            </w:r>
            <w:r w:rsidR="008822D1">
              <w:rPr>
                <w:rFonts w:ascii="仿宋" w:eastAsia="仿宋" w:hAnsi="仿宋" w:hint="eastAsia"/>
                <w:sz w:val="28"/>
                <w:szCs w:val="28"/>
              </w:rPr>
              <w:t>区</w:t>
            </w:r>
            <w:r w:rsidR="00605F13" w:rsidRPr="00605F13">
              <w:rPr>
                <w:rFonts w:ascii="仿宋" w:eastAsia="仿宋" w:hAnsi="仿宋" w:hint="eastAsia"/>
                <w:sz w:val="28"/>
                <w:szCs w:val="28"/>
              </w:rPr>
              <w:t>法院</w:t>
            </w:r>
          </w:p>
        </w:tc>
      </w:tr>
      <w:tr w:rsidR="00605F13" w:rsidRPr="00605F13" w:rsidTr="00F619BE">
        <w:trPr>
          <w:trHeight w:hRule="exact" w:val="1145"/>
        </w:trPr>
        <w:tc>
          <w:tcPr>
            <w:tcW w:w="3828" w:type="dxa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自贸区金融生态的法律营造与再生—以可复制、可推广原则为中心</w:t>
            </w:r>
          </w:p>
        </w:tc>
        <w:tc>
          <w:tcPr>
            <w:tcW w:w="1276" w:type="dxa"/>
            <w:gridSpan w:val="2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倪斐</w:t>
            </w:r>
          </w:p>
        </w:tc>
        <w:tc>
          <w:tcPr>
            <w:tcW w:w="4394" w:type="dxa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南京师范大学法学院</w:t>
            </w:r>
          </w:p>
        </w:tc>
      </w:tr>
      <w:tr w:rsidR="00605F13" w:rsidRPr="00605F13" w:rsidTr="00F619BE">
        <w:trPr>
          <w:trHeight w:hRule="exact" w:val="849"/>
        </w:trPr>
        <w:tc>
          <w:tcPr>
            <w:tcW w:w="3828" w:type="dxa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上海自贸区法律体系的现状反思与完善路向</w:t>
            </w:r>
          </w:p>
        </w:tc>
        <w:tc>
          <w:tcPr>
            <w:tcW w:w="1276" w:type="dxa"/>
            <w:gridSpan w:val="2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李敏</w:t>
            </w:r>
          </w:p>
        </w:tc>
        <w:tc>
          <w:tcPr>
            <w:tcW w:w="4394" w:type="dxa"/>
            <w:vAlign w:val="center"/>
          </w:tcPr>
          <w:p w:rsidR="00605F13" w:rsidRPr="00605F13" w:rsidRDefault="008822D1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江苏省</w:t>
            </w:r>
            <w:r w:rsidR="00605F13" w:rsidRPr="00605F1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淮海工学院法学院</w:t>
            </w:r>
          </w:p>
        </w:tc>
      </w:tr>
      <w:tr w:rsidR="00605F13" w:rsidRPr="00605F13" w:rsidTr="00F619BE">
        <w:trPr>
          <w:trHeight w:hRule="exact" w:val="845"/>
        </w:trPr>
        <w:tc>
          <w:tcPr>
            <w:tcW w:w="3828" w:type="dxa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负面清单视域中自贸区空白产业监管的法治路向研究</w:t>
            </w:r>
          </w:p>
        </w:tc>
        <w:tc>
          <w:tcPr>
            <w:tcW w:w="1276" w:type="dxa"/>
            <w:gridSpan w:val="2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黄书建、</w:t>
            </w:r>
          </w:p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605F13">
              <w:rPr>
                <w:rFonts w:ascii="仿宋" w:eastAsia="仿宋" w:hAnsi="仿宋" w:hint="eastAsia"/>
                <w:sz w:val="28"/>
                <w:szCs w:val="28"/>
              </w:rPr>
              <w:t>胡琼</w:t>
            </w:r>
            <w:proofErr w:type="gramEnd"/>
          </w:p>
        </w:tc>
        <w:tc>
          <w:tcPr>
            <w:tcW w:w="4394" w:type="dxa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宁波市江北区人民法院</w:t>
            </w:r>
          </w:p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宁波市宁波大学</w:t>
            </w:r>
          </w:p>
        </w:tc>
      </w:tr>
      <w:tr w:rsidR="00605F13" w:rsidRPr="00605F13" w:rsidTr="00367DCA">
        <w:trPr>
          <w:trHeight w:hRule="exact" w:val="737"/>
        </w:trPr>
        <w:tc>
          <w:tcPr>
            <w:tcW w:w="3828" w:type="dxa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中韩自贸区法制比较研究</w:t>
            </w:r>
          </w:p>
        </w:tc>
        <w:tc>
          <w:tcPr>
            <w:tcW w:w="1276" w:type="dxa"/>
            <w:gridSpan w:val="2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马光</w:t>
            </w:r>
          </w:p>
        </w:tc>
        <w:tc>
          <w:tcPr>
            <w:tcW w:w="4394" w:type="dxa"/>
            <w:vAlign w:val="center"/>
          </w:tcPr>
          <w:p w:rsidR="00605F13" w:rsidRPr="00605F13" w:rsidRDefault="00605F13" w:rsidP="00367DCA">
            <w:pPr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浙江大学光华法学院</w:t>
            </w:r>
          </w:p>
        </w:tc>
      </w:tr>
      <w:tr w:rsidR="00605F13" w:rsidRPr="00605F13" w:rsidTr="00367DCA">
        <w:trPr>
          <w:trHeight w:hRule="exact" w:val="737"/>
        </w:trPr>
        <w:tc>
          <w:tcPr>
            <w:tcW w:w="3828" w:type="dxa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中国（上海）自贸区法律适用基本问题研究</w:t>
            </w:r>
          </w:p>
        </w:tc>
        <w:tc>
          <w:tcPr>
            <w:tcW w:w="1276" w:type="dxa"/>
            <w:gridSpan w:val="2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彭凤莲</w:t>
            </w:r>
          </w:p>
        </w:tc>
        <w:tc>
          <w:tcPr>
            <w:tcW w:w="4394" w:type="dxa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安徽师范大学法学院</w:t>
            </w:r>
          </w:p>
        </w:tc>
      </w:tr>
      <w:tr w:rsidR="00605F13" w:rsidRPr="00605F13" w:rsidTr="00367DCA">
        <w:trPr>
          <w:trHeight w:hRule="exact" w:val="737"/>
        </w:trPr>
        <w:tc>
          <w:tcPr>
            <w:tcW w:w="3828" w:type="dxa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 xml:space="preserve">关于制定自贸试验区条例的几点思考  </w:t>
            </w:r>
          </w:p>
        </w:tc>
        <w:tc>
          <w:tcPr>
            <w:tcW w:w="1276" w:type="dxa"/>
            <w:gridSpan w:val="2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丁伟</w:t>
            </w:r>
          </w:p>
        </w:tc>
        <w:tc>
          <w:tcPr>
            <w:tcW w:w="4394" w:type="dxa"/>
            <w:vAlign w:val="center"/>
          </w:tcPr>
          <w:p w:rsidR="00605F13" w:rsidRPr="00605F13" w:rsidRDefault="00A979F1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A979F1">
              <w:rPr>
                <w:rFonts w:ascii="仿宋" w:eastAsia="仿宋" w:hAnsi="仿宋" w:hint="eastAsia"/>
                <w:sz w:val="28"/>
                <w:szCs w:val="28"/>
              </w:rPr>
              <w:t>上海市人大常委会法工委</w:t>
            </w:r>
          </w:p>
        </w:tc>
      </w:tr>
      <w:tr w:rsidR="00605F13" w:rsidRPr="00605F13" w:rsidTr="00367DCA">
        <w:trPr>
          <w:trHeight w:hRule="exact" w:val="737"/>
        </w:trPr>
        <w:tc>
          <w:tcPr>
            <w:tcW w:w="3828" w:type="dxa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中国（上海）自由贸易试验区司法管辖的前景透析</w:t>
            </w:r>
          </w:p>
        </w:tc>
        <w:tc>
          <w:tcPr>
            <w:tcW w:w="1276" w:type="dxa"/>
            <w:gridSpan w:val="2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许凯</w:t>
            </w:r>
          </w:p>
        </w:tc>
        <w:tc>
          <w:tcPr>
            <w:tcW w:w="4394" w:type="dxa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华东政法大学</w:t>
            </w:r>
          </w:p>
        </w:tc>
      </w:tr>
      <w:tr w:rsidR="00605F13" w:rsidRPr="00605F13" w:rsidTr="00367DCA">
        <w:trPr>
          <w:trHeight w:hRule="exact" w:val="737"/>
        </w:trPr>
        <w:tc>
          <w:tcPr>
            <w:tcW w:w="3828" w:type="dxa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金融改革中实验政策的形成、评估及法制化</w:t>
            </w:r>
          </w:p>
        </w:tc>
        <w:tc>
          <w:tcPr>
            <w:tcW w:w="1276" w:type="dxa"/>
            <w:gridSpan w:val="2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孟飞</w:t>
            </w:r>
          </w:p>
        </w:tc>
        <w:tc>
          <w:tcPr>
            <w:tcW w:w="4394" w:type="dxa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上海工程技术大学</w:t>
            </w:r>
          </w:p>
        </w:tc>
      </w:tr>
      <w:tr w:rsidR="00605F13" w:rsidRPr="00605F13" w:rsidTr="00367DCA">
        <w:trPr>
          <w:trHeight w:hRule="exact" w:val="737"/>
        </w:trPr>
        <w:tc>
          <w:tcPr>
            <w:tcW w:w="3828" w:type="dxa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我国自贸区法律纠纷解决机制配置研究</w:t>
            </w:r>
          </w:p>
        </w:tc>
        <w:tc>
          <w:tcPr>
            <w:tcW w:w="1276" w:type="dxa"/>
            <w:gridSpan w:val="2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郭志远</w:t>
            </w:r>
          </w:p>
        </w:tc>
        <w:tc>
          <w:tcPr>
            <w:tcW w:w="4394" w:type="dxa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安徽大学法学院</w:t>
            </w:r>
          </w:p>
        </w:tc>
      </w:tr>
      <w:tr w:rsidR="00605F13" w:rsidRPr="00605F13" w:rsidTr="00367DCA">
        <w:trPr>
          <w:trHeight w:hRule="exact" w:val="737"/>
        </w:trPr>
        <w:tc>
          <w:tcPr>
            <w:tcW w:w="9498" w:type="dxa"/>
            <w:gridSpan w:val="4"/>
            <w:vAlign w:val="center"/>
          </w:tcPr>
          <w:p w:rsidR="00605F13" w:rsidRPr="00605F13" w:rsidRDefault="00605F13" w:rsidP="00367DCA">
            <w:pPr>
              <w:spacing w:line="24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b/>
                <w:sz w:val="28"/>
                <w:szCs w:val="28"/>
              </w:rPr>
              <w:t>三等奖（20篇）</w:t>
            </w:r>
          </w:p>
        </w:tc>
      </w:tr>
      <w:tr w:rsidR="00605F13" w:rsidRPr="00605F13" w:rsidTr="00367DCA">
        <w:trPr>
          <w:trHeight w:hRule="exact" w:val="737"/>
        </w:trPr>
        <w:tc>
          <w:tcPr>
            <w:tcW w:w="3970" w:type="dxa"/>
            <w:gridSpan w:val="2"/>
            <w:vAlign w:val="center"/>
          </w:tcPr>
          <w:p w:rsidR="00605F13" w:rsidRPr="00605F13" w:rsidRDefault="00605F13" w:rsidP="00367DCA">
            <w:pPr>
              <w:spacing w:line="24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b/>
                <w:sz w:val="28"/>
                <w:szCs w:val="28"/>
              </w:rPr>
              <w:t>题目</w:t>
            </w:r>
          </w:p>
        </w:tc>
        <w:tc>
          <w:tcPr>
            <w:tcW w:w="1134" w:type="dxa"/>
            <w:vAlign w:val="center"/>
          </w:tcPr>
          <w:p w:rsidR="00605F13" w:rsidRPr="00605F13" w:rsidRDefault="00605F13" w:rsidP="00367DCA">
            <w:pPr>
              <w:spacing w:line="24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b/>
                <w:sz w:val="28"/>
                <w:szCs w:val="28"/>
              </w:rPr>
              <w:t>作者</w:t>
            </w:r>
          </w:p>
        </w:tc>
        <w:tc>
          <w:tcPr>
            <w:tcW w:w="4394" w:type="dxa"/>
            <w:vAlign w:val="center"/>
          </w:tcPr>
          <w:p w:rsidR="00605F13" w:rsidRPr="00605F13" w:rsidRDefault="00605F13" w:rsidP="00367DCA">
            <w:pPr>
              <w:spacing w:line="24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b/>
                <w:sz w:val="28"/>
                <w:szCs w:val="28"/>
              </w:rPr>
              <w:t>单位</w:t>
            </w:r>
          </w:p>
        </w:tc>
      </w:tr>
      <w:tr w:rsidR="00605F13" w:rsidRPr="00605F13" w:rsidTr="0036698A">
        <w:trPr>
          <w:trHeight w:hRule="exact" w:val="1117"/>
        </w:trPr>
        <w:tc>
          <w:tcPr>
            <w:tcW w:w="3970" w:type="dxa"/>
            <w:gridSpan w:val="2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上海自贸区负面清单管理模式的完善：以监管型政府发展为背景的解读</w:t>
            </w:r>
          </w:p>
        </w:tc>
        <w:tc>
          <w:tcPr>
            <w:tcW w:w="1134" w:type="dxa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刘天姿</w:t>
            </w:r>
          </w:p>
        </w:tc>
        <w:tc>
          <w:tcPr>
            <w:tcW w:w="4394" w:type="dxa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浙江工业大学</w:t>
            </w:r>
          </w:p>
        </w:tc>
      </w:tr>
      <w:tr w:rsidR="00605F13" w:rsidRPr="00605F13" w:rsidTr="00F619BE">
        <w:trPr>
          <w:trHeight w:hRule="exact" w:val="930"/>
        </w:trPr>
        <w:tc>
          <w:tcPr>
            <w:tcW w:w="3970" w:type="dxa"/>
            <w:gridSpan w:val="2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上海自贸试验区行政监管法律创新对策研究</w:t>
            </w:r>
          </w:p>
        </w:tc>
        <w:tc>
          <w:tcPr>
            <w:tcW w:w="1134" w:type="dxa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605F13">
              <w:rPr>
                <w:rFonts w:ascii="仿宋" w:eastAsia="仿宋" w:hAnsi="仿宋" w:hint="eastAsia"/>
                <w:sz w:val="28"/>
                <w:szCs w:val="28"/>
              </w:rPr>
              <w:t>程雁雷</w:t>
            </w:r>
            <w:proofErr w:type="gramEnd"/>
          </w:p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范晓亮</w:t>
            </w:r>
          </w:p>
        </w:tc>
        <w:tc>
          <w:tcPr>
            <w:tcW w:w="4394" w:type="dxa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cs="Times New Roman" w:hint="eastAsia"/>
                <w:sz w:val="28"/>
                <w:szCs w:val="28"/>
              </w:rPr>
              <w:t>安徽大学法学院</w:t>
            </w:r>
          </w:p>
        </w:tc>
      </w:tr>
      <w:tr w:rsidR="00605F13" w:rsidRPr="00605F13" w:rsidTr="00F619BE">
        <w:trPr>
          <w:trHeight w:hRule="exact" w:val="844"/>
        </w:trPr>
        <w:tc>
          <w:tcPr>
            <w:tcW w:w="3970" w:type="dxa"/>
            <w:gridSpan w:val="2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中国（上海）自贸区金融</w:t>
            </w:r>
            <w:proofErr w:type="gramStart"/>
            <w:r w:rsidRPr="00605F13">
              <w:rPr>
                <w:rFonts w:ascii="仿宋" w:eastAsia="仿宋" w:hAnsi="仿宋" w:hint="eastAsia"/>
                <w:sz w:val="28"/>
                <w:szCs w:val="28"/>
              </w:rPr>
              <w:t>检察与</w:t>
            </w:r>
            <w:proofErr w:type="gramEnd"/>
            <w:r w:rsidRPr="00605F13">
              <w:rPr>
                <w:rFonts w:ascii="仿宋" w:eastAsia="仿宋" w:hAnsi="仿宋" w:hint="eastAsia"/>
                <w:sz w:val="28"/>
                <w:szCs w:val="28"/>
              </w:rPr>
              <w:t>金融监管的衔接与协调</w:t>
            </w:r>
          </w:p>
        </w:tc>
        <w:tc>
          <w:tcPr>
            <w:tcW w:w="1134" w:type="dxa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605F13">
              <w:rPr>
                <w:rFonts w:ascii="仿宋" w:eastAsia="仿宋" w:hAnsi="仿宋" w:hint="eastAsia"/>
                <w:sz w:val="28"/>
                <w:szCs w:val="28"/>
              </w:rPr>
              <w:t>贺英</w:t>
            </w:r>
            <w:proofErr w:type="gramEnd"/>
          </w:p>
        </w:tc>
        <w:tc>
          <w:tcPr>
            <w:tcW w:w="4394" w:type="dxa"/>
            <w:vAlign w:val="center"/>
          </w:tcPr>
          <w:p w:rsidR="00605F13" w:rsidRPr="00605F13" w:rsidRDefault="00522ACA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上海市</w:t>
            </w:r>
            <w:r w:rsidR="00605F13" w:rsidRPr="00605F13">
              <w:rPr>
                <w:rFonts w:ascii="仿宋" w:eastAsia="仿宋" w:hAnsi="仿宋" w:hint="eastAsia"/>
                <w:sz w:val="28"/>
                <w:szCs w:val="28"/>
              </w:rPr>
              <w:t>松江区检察院</w:t>
            </w:r>
          </w:p>
        </w:tc>
      </w:tr>
      <w:tr w:rsidR="00605F13" w:rsidRPr="00605F13" w:rsidTr="00F619BE">
        <w:trPr>
          <w:trHeight w:hRule="exact" w:val="855"/>
        </w:trPr>
        <w:tc>
          <w:tcPr>
            <w:tcW w:w="3970" w:type="dxa"/>
            <w:gridSpan w:val="2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上海自贸区争端解决机构的建立与相关国内法制度创新</w:t>
            </w:r>
          </w:p>
        </w:tc>
        <w:tc>
          <w:tcPr>
            <w:tcW w:w="1134" w:type="dxa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黄洁</w:t>
            </w:r>
          </w:p>
        </w:tc>
        <w:tc>
          <w:tcPr>
            <w:tcW w:w="4394" w:type="dxa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上海对外经贸大学法学院</w:t>
            </w:r>
          </w:p>
        </w:tc>
      </w:tr>
      <w:tr w:rsidR="00605F13" w:rsidRPr="00605F13" w:rsidTr="00F619BE">
        <w:trPr>
          <w:trHeight w:hRule="exact" w:val="854"/>
        </w:trPr>
        <w:tc>
          <w:tcPr>
            <w:tcW w:w="3970" w:type="dxa"/>
            <w:gridSpan w:val="2"/>
            <w:vAlign w:val="center"/>
          </w:tcPr>
          <w:p w:rsidR="00605F13" w:rsidRPr="00605F13" w:rsidRDefault="00605F13" w:rsidP="00F619BE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上海自贸</w:t>
            </w:r>
            <w:proofErr w:type="gramStart"/>
            <w:r w:rsidRPr="00605F13">
              <w:rPr>
                <w:rFonts w:ascii="仿宋" w:eastAsia="仿宋" w:hAnsi="仿宋" w:hint="eastAsia"/>
                <w:sz w:val="28"/>
                <w:szCs w:val="28"/>
              </w:rPr>
              <w:t>区背景</w:t>
            </w:r>
            <w:proofErr w:type="gramEnd"/>
            <w:r w:rsidRPr="00605F13">
              <w:rPr>
                <w:rFonts w:ascii="仿宋" w:eastAsia="仿宋" w:hAnsi="仿宋" w:hint="eastAsia"/>
                <w:sz w:val="28"/>
                <w:szCs w:val="28"/>
              </w:rPr>
              <w:t xml:space="preserve">下的地方金融监管法律问题研究 </w:t>
            </w:r>
          </w:p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605F13">
              <w:rPr>
                <w:rFonts w:ascii="仿宋" w:eastAsia="仿宋" w:hAnsi="仿宋" w:hint="eastAsia"/>
                <w:sz w:val="28"/>
                <w:szCs w:val="28"/>
              </w:rPr>
              <w:t>陈颖健</w:t>
            </w:r>
            <w:proofErr w:type="gramEnd"/>
          </w:p>
        </w:tc>
        <w:tc>
          <w:tcPr>
            <w:tcW w:w="4394" w:type="dxa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上海政法学院</w:t>
            </w:r>
          </w:p>
        </w:tc>
      </w:tr>
      <w:tr w:rsidR="00605F13" w:rsidRPr="00605F13" w:rsidTr="00F619BE">
        <w:trPr>
          <w:trHeight w:hRule="exact" w:val="944"/>
        </w:trPr>
        <w:tc>
          <w:tcPr>
            <w:tcW w:w="3970" w:type="dxa"/>
            <w:gridSpan w:val="2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自由与秩序的碰撞：自贸区建设对我国刑法适用之影响</w:t>
            </w:r>
          </w:p>
        </w:tc>
        <w:tc>
          <w:tcPr>
            <w:tcW w:w="1134" w:type="dxa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刘宪权</w:t>
            </w:r>
          </w:p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李振林</w:t>
            </w:r>
          </w:p>
        </w:tc>
        <w:tc>
          <w:tcPr>
            <w:tcW w:w="4394" w:type="dxa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华东政法大学</w:t>
            </w:r>
          </w:p>
        </w:tc>
      </w:tr>
      <w:tr w:rsidR="00605F13" w:rsidRPr="00605F13" w:rsidTr="00F619BE">
        <w:trPr>
          <w:trHeight w:hRule="exact" w:val="761"/>
        </w:trPr>
        <w:tc>
          <w:tcPr>
            <w:tcW w:w="3970" w:type="dxa"/>
            <w:gridSpan w:val="2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上海自贸区公司资本制度变革后的法律应对</w:t>
            </w:r>
          </w:p>
        </w:tc>
        <w:tc>
          <w:tcPr>
            <w:tcW w:w="1134" w:type="dxa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倪峰</w:t>
            </w:r>
          </w:p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聂怀广</w:t>
            </w:r>
          </w:p>
        </w:tc>
        <w:tc>
          <w:tcPr>
            <w:tcW w:w="4394" w:type="dxa"/>
            <w:vAlign w:val="center"/>
          </w:tcPr>
          <w:p w:rsidR="00605F13" w:rsidRPr="00605F13" w:rsidRDefault="00EC1D41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上海市</w:t>
            </w:r>
            <w:r w:rsidR="00605F13" w:rsidRPr="00605F13">
              <w:rPr>
                <w:rFonts w:ascii="仿宋" w:eastAsia="仿宋" w:hAnsi="仿宋" w:hint="eastAsia"/>
                <w:sz w:val="28"/>
                <w:szCs w:val="28"/>
              </w:rPr>
              <w:t>崇明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县</w:t>
            </w:r>
            <w:r w:rsidR="00605F13" w:rsidRPr="00605F13">
              <w:rPr>
                <w:rFonts w:ascii="仿宋" w:eastAsia="仿宋" w:hAnsi="仿宋" w:hint="eastAsia"/>
                <w:sz w:val="28"/>
                <w:szCs w:val="28"/>
              </w:rPr>
              <w:t>检察院</w:t>
            </w:r>
          </w:p>
        </w:tc>
      </w:tr>
      <w:tr w:rsidR="00605F13" w:rsidRPr="00605F13" w:rsidTr="00F619BE">
        <w:trPr>
          <w:trHeight w:hRule="exact" w:val="1139"/>
        </w:trPr>
        <w:tc>
          <w:tcPr>
            <w:tcW w:w="3970" w:type="dxa"/>
            <w:gridSpan w:val="2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中国（上海）自由贸易试验区融资租赁法律制度的创新与完善</w:t>
            </w:r>
          </w:p>
        </w:tc>
        <w:tc>
          <w:tcPr>
            <w:tcW w:w="1134" w:type="dxa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605F13">
              <w:rPr>
                <w:rFonts w:ascii="仿宋" w:eastAsia="仿宋" w:hAnsi="仿宋" w:hint="eastAsia"/>
                <w:sz w:val="28"/>
                <w:szCs w:val="28"/>
              </w:rPr>
              <w:t>包蕾</w:t>
            </w:r>
            <w:proofErr w:type="gramEnd"/>
          </w:p>
        </w:tc>
        <w:tc>
          <w:tcPr>
            <w:tcW w:w="4394" w:type="dxa"/>
            <w:vAlign w:val="center"/>
          </w:tcPr>
          <w:p w:rsidR="00605F13" w:rsidRPr="00605F13" w:rsidRDefault="00EC1D41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上海市</w:t>
            </w:r>
            <w:r w:rsidR="00605F13" w:rsidRPr="00605F13">
              <w:rPr>
                <w:rFonts w:ascii="仿宋" w:eastAsia="仿宋" w:hAnsi="仿宋" w:hint="eastAsia"/>
                <w:sz w:val="28"/>
                <w:szCs w:val="28"/>
              </w:rPr>
              <w:t>浦东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区</w:t>
            </w:r>
            <w:r w:rsidR="00605F13" w:rsidRPr="00605F13">
              <w:rPr>
                <w:rFonts w:ascii="仿宋" w:eastAsia="仿宋" w:hAnsi="仿宋" w:hint="eastAsia"/>
                <w:sz w:val="28"/>
                <w:szCs w:val="28"/>
              </w:rPr>
              <w:t>法院</w:t>
            </w:r>
          </w:p>
        </w:tc>
      </w:tr>
      <w:tr w:rsidR="00605F13" w:rsidRPr="00605F13" w:rsidTr="00F619BE">
        <w:trPr>
          <w:trHeight w:hRule="exact" w:val="844"/>
        </w:trPr>
        <w:tc>
          <w:tcPr>
            <w:tcW w:w="3970" w:type="dxa"/>
            <w:gridSpan w:val="2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负面清单管理模式法律探析上海自贸试验区</w:t>
            </w:r>
          </w:p>
        </w:tc>
        <w:tc>
          <w:tcPr>
            <w:tcW w:w="1134" w:type="dxa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龚柏华</w:t>
            </w:r>
          </w:p>
        </w:tc>
        <w:tc>
          <w:tcPr>
            <w:tcW w:w="4394" w:type="dxa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复旦大学法学院</w:t>
            </w:r>
          </w:p>
        </w:tc>
      </w:tr>
      <w:tr w:rsidR="00605F13" w:rsidRPr="00605F13" w:rsidTr="00F619BE">
        <w:trPr>
          <w:trHeight w:hRule="exact" w:val="1139"/>
        </w:trPr>
        <w:tc>
          <w:tcPr>
            <w:tcW w:w="3970" w:type="dxa"/>
            <w:gridSpan w:val="2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上海自贸区内个人投资者境外投资的法律思考：以证券投资为中心</w:t>
            </w:r>
          </w:p>
        </w:tc>
        <w:tc>
          <w:tcPr>
            <w:tcW w:w="1134" w:type="dxa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樊健</w:t>
            </w:r>
          </w:p>
        </w:tc>
        <w:tc>
          <w:tcPr>
            <w:tcW w:w="4394" w:type="dxa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上海财经大学法学院</w:t>
            </w:r>
          </w:p>
        </w:tc>
      </w:tr>
      <w:tr w:rsidR="00605F13" w:rsidRPr="00605F13" w:rsidTr="00F619BE">
        <w:trPr>
          <w:trHeight w:hRule="exact" w:val="843"/>
        </w:trPr>
        <w:tc>
          <w:tcPr>
            <w:tcW w:w="3970" w:type="dxa"/>
            <w:gridSpan w:val="2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605F13">
              <w:rPr>
                <w:rFonts w:ascii="仿宋" w:eastAsia="仿宋" w:hAnsi="仿宋" w:hint="eastAsia"/>
                <w:sz w:val="28"/>
                <w:szCs w:val="28"/>
              </w:rPr>
              <w:t>涉自贸</w:t>
            </w:r>
            <w:proofErr w:type="gramEnd"/>
            <w:r w:rsidRPr="00605F13">
              <w:rPr>
                <w:rFonts w:ascii="仿宋" w:eastAsia="仿宋" w:hAnsi="仿宋" w:hint="eastAsia"/>
                <w:sz w:val="28"/>
                <w:szCs w:val="28"/>
              </w:rPr>
              <w:t>区争议解决机制的创新与合同纠纷审理的司法对策</w:t>
            </w:r>
          </w:p>
        </w:tc>
        <w:tc>
          <w:tcPr>
            <w:tcW w:w="1134" w:type="dxa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605F1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石萍</w:t>
            </w:r>
            <w:proofErr w:type="gramEnd"/>
          </w:p>
        </w:tc>
        <w:tc>
          <w:tcPr>
            <w:tcW w:w="4394" w:type="dxa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南京市玄武区人民法院</w:t>
            </w:r>
          </w:p>
        </w:tc>
      </w:tr>
      <w:tr w:rsidR="00605F13" w:rsidRPr="00605F13" w:rsidTr="00F619BE">
        <w:trPr>
          <w:trHeight w:hRule="exact" w:val="1259"/>
        </w:trPr>
        <w:tc>
          <w:tcPr>
            <w:tcW w:w="3970" w:type="dxa"/>
            <w:gridSpan w:val="2"/>
            <w:vAlign w:val="center"/>
          </w:tcPr>
          <w:p w:rsidR="00605F13" w:rsidRPr="00605F13" w:rsidRDefault="00605F13" w:rsidP="00F619BE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 xml:space="preserve">检察机关介入自贸区金融创新的基础与路径探析—以民事检察监督为视角 </w:t>
            </w:r>
          </w:p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卢鹏</w:t>
            </w:r>
          </w:p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曹婧</w:t>
            </w:r>
          </w:p>
        </w:tc>
        <w:tc>
          <w:tcPr>
            <w:tcW w:w="4394" w:type="dxa"/>
            <w:vAlign w:val="center"/>
          </w:tcPr>
          <w:p w:rsidR="00605F13" w:rsidRPr="00605F13" w:rsidRDefault="00EC1D41" w:rsidP="00EC1D4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江苏省</w:t>
            </w:r>
            <w:r w:rsidR="00605F13" w:rsidRPr="00605F1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南通市崇川区人民检察院</w:t>
            </w:r>
            <w:r w:rsidR="00605F13" w:rsidRPr="00605F1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br/>
              <w:t>中国人民银行南通市中心支行</w:t>
            </w:r>
          </w:p>
        </w:tc>
      </w:tr>
      <w:tr w:rsidR="00605F13" w:rsidRPr="00605F13" w:rsidTr="00F619BE">
        <w:trPr>
          <w:trHeight w:hRule="exact" w:val="874"/>
        </w:trPr>
        <w:tc>
          <w:tcPr>
            <w:tcW w:w="3970" w:type="dxa"/>
            <w:gridSpan w:val="2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自贸区内洗钱犯罪的法律适用与规制研究</w:t>
            </w:r>
          </w:p>
        </w:tc>
        <w:tc>
          <w:tcPr>
            <w:tcW w:w="1134" w:type="dxa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刘俊祥</w:t>
            </w:r>
          </w:p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石学友</w:t>
            </w:r>
          </w:p>
        </w:tc>
        <w:tc>
          <w:tcPr>
            <w:tcW w:w="4394" w:type="dxa"/>
            <w:vAlign w:val="center"/>
          </w:tcPr>
          <w:p w:rsidR="00605F13" w:rsidRPr="00605F13" w:rsidRDefault="00411461" w:rsidP="00D46852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江苏省</w:t>
            </w:r>
            <w:r w:rsidR="00605F13" w:rsidRPr="00605F1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宿迁市检察院</w:t>
            </w:r>
          </w:p>
        </w:tc>
      </w:tr>
      <w:tr w:rsidR="00605F13" w:rsidRPr="00605F13" w:rsidTr="0036698A">
        <w:trPr>
          <w:trHeight w:hRule="exact" w:val="1127"/>
        </w:trPr>
        <w:tc>
          <w:tcPr>
            <w:tcW w:w="3970" w:type="dxa"/>
            <w:gridSpan w:val="2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浅谈中国（上海）自由贸易试验区的改革理性—以公司法定资本制改革为例</w:t>
            </w:r>
          </w:p>
        </w:tc>
        <w:tc>
          <w:tcPr>
            <w:tcW w:w="1134" w:type="dxa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马俊彦</w:t>
            </w:r>
          </w:p>
        </w:tc>
        <w:tc>
          <w:tcPr>
            <w:tcW w:w="4394" w:type="dxa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浙江大学光华法学院</w:t>
            </w:r>
          </w:p>
        </w:tc>
      </w:tr>
      <w:tr w:rsidR="00605F13" w:rsidRPr="00605F13" w:rsidTr="0036698A">
        <w:trPr>
          <w:trHeight w:hRule="exact" w:val="1285"/>
        </w:trPr>
        <w:tc>
          <w:tcPr>
            <w:tcW w:w="3970" w:type="dxa"/>
            <w:gridSpan w:val="2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自由贸易港区的立法转型—基于舟山</w:t>
            </w:r>
            <w:proofErr w:type="gramStart"/>
            <w:r w:rsidRPr="00605F13">
              <w:rPr>
                <w:rFonts w:ascii="仿宋" w:eastAsia="仿宋" w:hAnsi="仿宋" w:hint="eastAsia"/>
                <w:sz w:val="28"/>
                <w:szCs w:val="28"/>
              </w:rPr>
              <w:t>港综合</w:t>
            </w:r>
            <w:proofErr w:type="gramEnd"/>
            <w:r w:rsidRPr="00605F13">
              <w:rPr>
                <w:rFonts w:ascii="仿宋" w:eastAsia="仿宋" w:hAnsi="仿宋" w:hint="eastAsia"/>
                <w:sz w:val="28"/>
                <w:szCs w:val="28"/>
              </w:rPr>
              <w:t>保税区向自由贸易港区的模式转变</w:t>
            </w:r>
          </w:p>
        </w:tc>
        <w:tc>
          <w:tcPr>
            <w:tcW w:w="1134" w:type="dxa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全永波</w:t>
            </w:r>
          </w:p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陈立东</w:t>
            </w:r>
          </w:p>
        </w:tc>
        <w:tc>
          <w:tcPr>
            <w:tcW w:w="4394" w:type="dxa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 xml:space="preserve">浙江海洋学院 </w:t>
            </w:r>
          </w:p>
          <w:p w:rsidR="00605F13" w:rsidRPr="00605F13" w:rsidRDefault="005C7A94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浙江省</w:t>
            </w:r>
            <w:r w:rsidR="00605F13" w:rsidRPr="00605F13">
              <w:rPr>
                <w:rFonts w:ascii="仿宋" w:eastAsia="仿宋" w:hAnsi="仿宋" w:hint="eastAsia"/>
                <w:sz w:val="28"/>
                <w:szCs w:val="28"/>
              </w:rPr>
              <w:t>舟山市中级人民法院</w:t>
            </w:r>
          </w:p>
        </w:tc>
      </w:tr>
      <w:tr w:rsidR="00605F13" w:rsidRPr="00605F13" w:rsidTr="00F619BE">
        <w:trPr>
          <w:trHeight w:hRule="exact" w:val="850"/>
        </w:trPr>
        <w:tc>
          <w:tcPr>
            <w:tcW w:w="3970" w:type="dxa"/>
            <w:gridSpan w:val="2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国内外自贸</w:t>
            </w:r>
            <w:proofErr w:type="gramStart"/>
            <w:r w:rsidRPr="00605F13">
              <w:rPr>
                <w:rFonts w:ascii="仿宋" w:eastAsia="仿宋" w:hAnsi="仿宋" w:hint="eastAsia"/>
                <w:sz w:val="28"/>
                <w:szCs w:val="28"/>
              </w:rPr>
              <w:t>区立法</w:t>
            </w:r>
            <w:proofErr w:type="gramEnd"/>
            <w:r w:rsidRPr="00605F13">
              <w:rPr>
                <w:rFonts w:ascii="仿宋" w:eastAsia="仿宋" w:hAnsi="仿宋" w:hint="eastAsia"/>
                <w:sz w:val="28"/>
                <w:szCs w:val="28"/>
              </w:rPr>
              <w:t>实践及其对舟山自贸</w:t>
            </w:r>
            <w:proofErr w:type="gramStart"/>
            <w:r w:rsidRPr="00605F13">
              <w:rPr>
                <w:rFonts w:ascii="仿宋" w:eastAsia="仿宋" w:hAnsi="仿宋" w:hint="eastAsia"/>
                <w:sz w:val="28"/>
                <w:szCs w:val="28"/>
              </w:rPr>
              <w:t>区立法</w:t>
            </w:r>
            <w:proofErr w:type="gramEnd"/>
            <w:r w:rsidRPr="00605F13">
              <w:rPr>
                <w:rFonts w:ascii="仿宋" w:eastAsia="仿宋" w:hAnsi="仿宋" w:hint="eastAsia"/>
                <w:sz w:val="28"/>
                <w:szCs w:val="28"/>
              </w:rPr>
              <w:t>的启示</w:t>
            </w:r>
          </w:p>
        </w:tc>
        <w:tc>
          <w:tcPr>
            <w:tcW w:w="1134" w:type="dxa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605F13">
              <w:rPr>
                <w:rFonts w:ascii="仿宋" w:eastAsia="仿宋" w:hAnsi="仿宋" w:hint="eastAsia"/>
                <w:sz w:val="28"/>
                <w:szCs w:val="28"/>
              </w:rPr>
              <w:t>熊良敏</w:t>
            </w:r>
            <w:proofErr w:type="gramEnd"/>
          </w:p>
        </w:tc>
        <w:tc>
          <w:tcPr>
            <w:tcW w:w="4394" w:type="dxa"/>
            <w:vAlign w:val="center"/>
          </w:tcPr>
          <w:p w:rsidR="00605F13" w:rsidRPr="00605F13" w:rsidRDefault="003C1A9B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浙江省</w:t>
            </w:r>
            <w:r w:rsidR="00605F13" w:rsidRPr="00605F13">
              <w:rPr>
                <w:rFonts w:ascii="仿宋" w:eastAsia="仿宋" w:hAnsi="仿宋" w:hint="eastAsia"/>
                <w:sz w:val="28"/>
                <w:szCs w:val="28"/>
              </w:rPr>
              <w:t>舟山市人民政府法制办</w:t>
            </w:r>
          </w:p>
        </w:tc>
      </w:tr>
      <w:tr w:rsidR="00605F13" w:rsidRPr="00605F13" w:rsidTr="009A6579">
        <w:trPr>
          <w:trHeight w:hRule="exact" w:val="1263"/>
        </w:trPr>
        <w:tc>
          <w:tcPr>
            <w:tcW w:w="3970" w:type="dxa"/>
            <w:gridSpan w:val="2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比较视野下舟山自由贸易园区建设研究</w:t>
            </w:r>
          </w:p>
        </w:tc>
        <w:tc>
          <w:tcPr>
            <w:tcW w:w="1134" w:type="dxa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孙建军</w:t>
            </w:r>
          </w:p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605F13">
              <w:rPr>
                <w:rFonts w:ascii="仿宋" w:eastAsia="仿宋" w:hAnsi="仿宋" w:hint="eastAsia"/>
                <w:sz w:val="28"/>
                <w:szCs w:val="28"/>
              </w:rPr>
              <w:t>童静儿</w:t>
            </w:r>
            <w:proofErr w:type="gramEnd"/>
          </w:p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胡佳</w:t>
            </w:r>
          </w:p>
        </w:tc>
        <w:tc>
          <w:tcPr>
            <w:tcW w:w="4394" w:type="dxa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中共</w:t>
            </w:r>
            <w:r w:rsidR="005C7A94">
              <w:rPr>
                <w:rFonts w:ascii="仿宋" w:eastAsia="仿宋" w:hAnsi="仿宋" w:hint="eastAsia"/>
                <w:sz w:val="28"/>
                <w:szCs w:val="28"/>
              </w:rPr>
              <w:t>浙江省</w:t>
            </w:r>
            <w:r w:rsidRPr="00605F1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舟山市委党校</w:t>
            </w:r>
          </w:p>
        </w:tc>
      </w:tr>
      <w:tr w:rsidR="00605F13" w:rsidRPr="00605F13" w:rsidTr="00F619BE">
        <w:trPr>
          <w:trHeight w:hRule="exact" w:val="860"/>
        </w:trPr>
        <w:tc>
          <w:tcPr>
            <w:tcW w:w="3970" w:type="dxa"/>
            <w:gridSpan w:val="2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TPP劳工标准对上海自贸区劳工权益保护的启示</w:t>
            </w:r>
          </w:p>
        </w:tc>
        <w:tc>
          <w:tcPr>
            <w:tcW w:w="1134" w:type="dxa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余筱兰</w:t>
            </w:r>
          </w:p>
        </w:tc>
        <w:tc>
          <w:tcPr>
            <w:tcW w:w="4394" w:type="dxa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安徽师范大学法学院</w:t>
            </w:r>
          </w:p>
        </w:tc>
      </w:tr>
      <w:tr w:rsidR="00605F13" w:rsidRPr="00605F13" w:rsidTr="00367DCA">
        <w:trPr>
          <w:trHeight w:hRule="exact" w:val="862"/>
        </w:trPr>
        <w:tc>
          <w:tcPr>
            <w:tcW w:w="3970" w:type="dxa"/>
            <w:gridSpan w:val="2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机制创新与法治规制：上海自贸区司法改革的实践逻辑</w:t>
            </w:r>
          </w:p>
        </w:tc>
        <w:tc>
          <w:tcPr>
            <w:tcW w:w="1134" w:type="dxa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605F13">
              <w:rPr>
                <w:rFonts w:ascii="仿宋" w:eastAsia="仿宋" w:hAnsi="仿宋" w:cs="Times New Roman" w:hint="eastAsia"/>
                <w:sz w:val="28"/>
                <w:szCs w:val="28"/>
              </w:rPr>
              <w:t>莫良元</w:t>
            </w:r>
            <w:proofErr w:type="gramEnd"/>
          </w:p>
        </w:tc>
        <w:tc>
          <w:tcPr>
            <w:tcW w:w="4394" w:type="dxa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安徽理工大学人文社会科学学院</w:t>
            </w:r>
          </w:p>
        </w:tc>
      </w:tr>
      <w:tr w:rsidR="00605F13" w:rsidRPr="00605F13" w:rsidTr="00367DCA">
        <w:trPr>
          <w:trHeight w:hRule="exact" w:val="705"/>
        </w:trPr>
        <w:tc>
          <w:tcPr>
            <w:tcW w:w="3970" w:type="dxa"/>
            <w:gridSpan w:val="2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论上海自由贸易试验区知识产权司法保护制度的构建</w:t>
            </w:r>
          </w:p>
        </w:tc>
        <w:tc>
          <w:tcPr>
            <w:tcW w:w="1134" w:type="dxa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崔汪卫</w:t>
            </w:r>
          </w:p>
        </w:tc>
        <w:tc>
          <w:tcPr>
            <w:tcW w:w="4394" w:type="dxa"/>
            <w:vAlign w:val="center"/>
          </w:tcPr>
          <w:p w:rsidR="00605F13" w:rsidRPr="00605F13" w:rsidRDefault="00605F13" w:rsidP="00367DCA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 w:rsidRPr="00605F13">
              <w:rPr>
                <w:rFonts w:ascii="仿宋" w:eastAsia="仿宋" w:hAnsi="仿宋" w:hint="eastAsia"/>
                <w:sz w:val="28"/>
                <w:szCs w:val="28"/>
              </w:rPr>
              <w:t>安徽省安庆市人民检察院</w:t>
            </w:r>
          </w:p>
        </w:tc>
      </w:tr>
    </w:tbl>
    <w:p w:rsidR="00605F13" w:rsidRPr="00605F13" w:rsidRDefault="00605F13" w:rsidP="00F619BE">
      <w:pPr>
        <w:adjustRightInd w:val="0"/>
        <w:snapToGrid w:val="0"/>
        <w:spacing w:line="680" w:lineRule="exact"/>
        <w:rPr>
          <w:rFonts w:ascii="仿宋" w:eastAsia="仿宋" w:hAnsi="仿宋"/>
          <w:sz w:val="32"/>
          <w:szCs w:val="32"/>
        </w:rPr>
      </w:pPr>
    </w:p>
    <w:sectPr w:rsidR="00605F13" w:rsidRPr="00605F13" w:rsidSect="007F6ED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0D3" w:rsidRDefault="005E40D3" w:rsidP="000201CD">
      <w:r>
        <w:separator/>
      </w:r>
    </w:p>
  </w:endnote>
  <w:endnote w:type="continuationSeparator" w:id="0">
    <w:p w:rsidR="005E40D3" w:rsidRDefault="005E40D3" w:rsidP="0002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5617"/>
      <w:docPartObj>
        <w:docPartGallery w:val="Page Numbers (Bottom of Page)"/>
        <w:docPartUnique/>
      </w:docPartObj>
    </w:sdtPr>
    <w:sdtEndPr/>
    <w:sdtContent>
      <w:p w:rsidR="00901EA2" w:rsidRDefault="005E40D3" w:rsidP="00901EA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6A18" w:rsidRPr="00EC6A18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901EA2" w:rsidRDefault="00901E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0D3" w:rsidRDefault="005E40D3" w:rsidP="000201CD">
      <w:r>
        <w:separator/>
      </w:r>
    </w:p>
  </w:footnote>
  <w:footnote w:type="continuationSeparator" w:id="0">
    <w:p w:rsidR="005E40D3" w:rsidRDefault="005E40D3" w:rsidP="00020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40BF"/>
    <w:multiLevelType w:val="multilevel"/>
    <w:tmpl w:val="2E82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849E9"/>
    <w:multiLevelType w:val="multilevel"/>
    <w:tmpl w:val="4FC4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F6906"/>
    <w:multiLevelType w:val="multilevel"/>
    <w:tmpl w:val="9488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2E0697"/>
    <w:multiLevelType w:val="multilevel"/>
    <w:tmpl w:val="08AA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A535F8"/>
    <w:multiLevelType w:val="multilevel"/>
    <w:tmpl w:val="611E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367E00"/>
    <w:multiLevelType w:val="multilevel"/>
    <w:tmpl w:val="46B03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8E"/>
    <w:rsid w:val="000201CD"/>
    <w:rsid w:val="00031A12"/>
    <w:rsid w:val="000341BE"/>
    <w:rsid w:val="00063FC9"/>
    <w:rsid w:val="0007770C"/>
    <w:rsid w:val="000957FA"/>
    <w:rsid w:val="00096193"/>
    <w:rsid w:val="00096E05"/>
    <w:rsid w:val="000C3EF5"/>
    <w:rsid w:val="000D566A"/>
    <w:rsid w:val="000F210F"/>
    <w:rsid w:val="00112671"/>
    <w:rsid w:val="00113312"/>
    <w:rsid w:val="00130ADC"/>
    <w:rsid w:val="00157EEA"/>
    <w:rsid w:val="001600E7"/>
    <w:rsid w:val="00187009"/>
    <w:rsid w:val="001A08FA"/>
    <w:rsid w:val="001B1C71"/>
    <w:rsid w:val="001B408F"/>
    <w:rsid w:val="001C5AFB"/>
    <w:rsid w:val="00200B05"/>
    <w:rsid w:val="002075FA"/>
    <w:rsid w:val="00214A18"/>
    <w:rsid w:val="0022260B"/>
    <w:rsid w:val="002646A9"/>
    <w:rsid w:val="00270B5B"/>
    <w:rsid w:val="00272ADA"/>
    <w:rsid w:val="0028217A"/>
    <w:rsid w:val="002A0B68"/>
    <w:rsid w:val="002B22D3"/>
    <w:rsid w:val="002B367E"/>
    <w:rsid w:val="002E31FF"/>
    <w:rsid w:val="002E44DD"/>
    <w:rsid w:val="002F257E"/>
    <w:rsid w:val="00301079"/>
    <w:rsid w:val="00306810"/>
    <w:rsid w:val="00343761"/>
    <w:rsid w:val="0036698A"/>
    <w:rsid w:val="00372EDD"/>
    <w:rsid w:val="00380875"/>
    <w:rsid w:val="003817D5"/>
    <w:rsid w:val="003A06F5"/>
    <w:rsid w:val="003A32D7"/>
    <w:rsid w:val="003A4762"/>
    <w:rsid w:val="003C0B71"/>
    <w:rsid w:val="003C1A9B"/>
    <w:rsid w:val="003C2973"/>
    <w:rsid w:val="003C6C8D"/>
    <w:rsid w:val="003D6756"/>
    <w:rsid w:val="003E2830"/>
    <w:rsid w:val="003E3CF6"/>
    <w:rsid w:val="003E4E35"/>
    <w:rsid w:val="003E68F6"/>
    <w:rsid w:val="00411461"/>
    <w:rsid w:val="00417F7B"/>
    <w:rsid w:val="004215C7"/>
    <w:rsid w:val="00433FE4"/>
    <w:rsid w:val="00437D13"/>
    <w:rsid w:val="00470436"/>
    <w:rsid w:val="0049426D"/>
    <w:rsid w:val="004954AC"/>
    <w:rsid w:val="004A0225"/>
    <w:rsid w:val="004B6DBC"/>
    <w:rsid w:val="004C551B"/>
    <w:rsid w:val="004E210A"/>
    <w:rsid w:val="004F4A1E"/>
    <w:rsid w:val="005028FB"/>
    <w:rsid w:val="00522ACA"/>
    <w:rsid w:val="005263A8"/>
    <w:rsid w:val="00527F1E"/>
    <w:rsid w:val="00532803"/>
    <w:rsid w:val="00550A41"/>
    <w:rsid w:val="00553111"/>
    <w:rsid w:val="005569B0"/>
    <w:rsid w:val="00563F81"/>
    <w:rsid w:val="00592B97"/>
    <w:rsid w:val="0059307F"/>
    <w:rsid w:val="00593D34"/>
    <w:rsid w:val="005A2B5F"/>
    <w:rsid w:val="005B7586"/>
    <w:rsid w:val="005C46F6"/>
    <w:rsid w:val="005C7A94"/>
    <w:rsid w:val="005D0040"/>
    <w:rsid w:val="005D12C7"/>
    <w:rsid w:val="005D5BD5"/>
    <w:rsid w:val="005E40D3"/>
    <w:rsid w:val="005F1C69"/>
    <w:rsid w:val="006022EB"/>
    <w:rsid w:val="00605F13"/>
    <w:rsid w:val="00610D1E"/>
    <w:rsid w:val="00622B94"/>
    <w:rsid w:val="0063396B"/>
    <w:rsid w:val="006429B4"/>
    <w:rsid w:val="0065270C"/>
    <w:rsid w:val="00656FB4"/>
    <w:rsid w:val="006662FA"/>
    <w:rsid w:val="00686BA5"/>
    <w:rsid w:val="00690662"/>
    <w:rsid w:val="006C69C7"/>
    <w:rsid w:val="00712057"/>
    <w:rsid w:val="00712106"/>
    <w:rsid w:val="007128D2"/>
    <w:rsid w:val="00723A08"/>
    <w:rsid w:val="00741A60"/>
    <w:rsid w:val="00741B48"/>
    <w:rsid w:val="00743BDC"/>
    <w:rsid w:val="007544CD"/>
    <w:rsid w:val="0076020E"/>
    <w:rsid w:val="007670DE"/>
    <w:rsid w:val="00771E50"/>
    <w:rsid w:val="00776699"/>
    <w:rsid w:val="007807D3"/>
    <w:rsid w:val="00794D5C"/>
    <w:rsid w:val="007A0ADD"/>
    <w:rsid w:val="007B6B31"/>
    <w:rsid w:val="007B7BFB"/>
    <w:rsid w:val="007C17CF"/>
    <w:rsid w:val="007D0825"/>
    <w:rsid w:val="007F6ED3"/>
    <w:rsid w:val="00804485"/>
    <w:rsid w:val="00812566"/>
    <w:rsid w:val="00840040"/>
    <w:rsid w:val="00853D2B"/>
    <w:rsid w:val="008745D0"/>
    <w:rsid w:val="008822D1"/>
    <w:rsid w:val="00893E51"/>
    <w:rsid w:val="008A2498"/>
    <w:rsid w:val="008B00B0"/>
    <w:rsid w:val="008B31BB"/>
    <w:rsid w:val="008B6B54"/>
    <w:rsid w:val="008D0013"/>
    <w:rsid w:val="008E62EA"/>
    <w:rsid w:val="008F7220"/>
    <w:rsid w:val="008F7EDE"/>
    <w:rsid w:val="00901EA2"/>
    <w:rsid w:val="009078CA"/>
    <w:rsid w:val="00910313"/>
    <w:rsid w:val="00947A05"/>
    <w:rsid w:val="00960575"/>
    <w:rsid w:val="0097011D"/>
    <w:rsid w:val="0097523E"/>
    <w:rsid w:val="009A0A20"/>
    <w:rsid w:val="009A6579"/>
    <w:rsid w:val="00A07A2A"/>
    <w:rsid w:val="00A153CF"/>
    <w:rsid w:val="00A23BBD"/>
    <w:rsid w:val="00A25212"/>
    <w:rsid w:val="00A27CBC"/>
    <w:rsid w:val="00A32553"/>
    <w:rsid w:val="00A35024"/>
    <w:rsid w:val="00A85684"/>
    <w:rsid w:val="00A979F1"/>
    <w:rsid w:val="00AF06F5"/>
    <w:rsid w:val="00AF1B5D"/>
    <w:rsid w:val="00AF3549"/>
    <w:rsid w:val="00B01948"/>
    <w:rsid w:val="00B16ACF"/>
    <w:rsid w:val="00B27221"/>
    <w:rsid w:val="00B45CD0"/>
    <w:rsid w:val="00B57360"/>
    <w:rsid w:val="00B65CE8"/>
    <w:rsid w:val="00B673B8"/>
    <w:rsid w:val="00B813C3"/>
    <w:rsid w:val="00B91597"/>
    <w:rsid w:val="00BA4F8A"/>
    <w:rsid w:val="00BC4CDF"/>
    <w:rsid w:val="00BD3750"/>
    <w:rsid w:val="00BE042F"/>
    <w:rsid w:val="00BF2B2D"/>
    <w:rsid w:val="00BF2F74"/>
    <w:rsid w:val="00C078C3"/>
    <w:rsid w:val="00C467B0"/>
    <w:rsid w:val="00C61116"/>
    <w:rsid w:val="00C61FA2"/>
    <w:rsid w:val="00C77A0F"/>
    <w:rsid w:val="00C815DF"/>
    <w:rsid w:val="00C81ECC"/>
    <w:rsid w:val="00CA5CE8"/>
    <w:rsid w:val="00CD7B7B"/>
    <w:rsid w:val="00CF265F"/>
    <w:rsid w:val="00D15C8D"/>
    <w:rsid w:val="00D22DBC"/>
    <w:rsid w:val="00D30D93"/>
    <w:rsid w:val="00D355FD"/>
    <w:rsid w:val="00D4462E"/>
    <w:rsid w:val="00D46852"/>
    <w:rsid w:val="00D50C83"/>
    <w:rsid w:val="00D75874"/>
    <w:rsid w:val="00D90DF5"/>
    <w:rsid w:val="00D92059"/>
    <w:rsid w:val="00DA552E"/>
    <w:rsid w:val="00DD07A9"/>
    <w:rsid w:val="00E2198E"/>
    <w:rsid w:val="00E228CB"/>
    <w:rsid w:val="00E26635"/>
    <w:rsid w:val="00E4008F"/>
    <w:rsid w:val="00E400DA"/>
    <w:rsid w:val="00E44766"/>
    <w:rsid w:val="00E672E7"/>
    <w:rsid w:val="00E76ECF"/>
    <w:rsid w:val="00E7710E"/>
    <w:rsid w:val="00E772F0"/>
    <w:rsid w:val="00E84F1D"/>
    <w:rsid w:val="00E86C5D"/>
    <w:rsid w:val="00E92DF2"/>
    <w:rsid w:val="00EA0187"/>
    <w:rsid w:val="00EA3C25"/>
    <w:rsid w:val="00EC1D41"/>
    <w:rsid w:val="00EC1D88"/>
    <w:rsid w:val="00EC6A18"/>
    <w:rsid w:val="00ED13E8"/>
    <w:rsid w:val="00ED196B"/>
    <w:rsid w:val="00EE3143"/>
    <w:rsid w:val="00EE697A"/>
    <w:rsid w:val="00EF0D78"/>
    <w:rsid w:val="00EF4FAB"/>
    <w:rsid w:val="00F02D63"/>
    <w:rsid w:val="00F03CBF"/>
    <w:rsid w:val="00F0656C"/>
    <w:rsid w:val="00F11205"/>
    <w:rsid w:val="00F31A2C"/>
    <w:rsid w:val="00F36EA4"/>
    <w:rsid w:val="00F421F0"/>
    <w:rsid w:val="00F51627"/>
    <w:rsid w:val="00F55ECD"/>
    <w:rsid w:val="00F619BE"/>
    <w:rsid w:val="00F667DF"/>
    <w:rsid w:val="00F81E56"/>
    <w:rsid w:val="00F831F2"/>
    <w:rsid w:val="00F848D5"/>
    <w:rsid w:val="00F86D39"/>
    <w:rsid w:val="00FB71A8"/>
    <w:rsid w:val="00FC094F"/>
    <w:rsid w:val="00FE4AEF"/>
    <w:rsid w:val="00FE5F46"/>
    <w:rsid w:val="00FE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9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2198E"/>
    <w:rPr>
      <w:b/>
      <w:bCs/>
    </w:rPr>
  </w:style>
  <w:style w:type="character" w:styleId="a5">
    <w:name w:val="Hyperlink"/>
    <w:basedOn w:val="a0"/>
    <w:uiPriority w:val="99"/>
    <w:semiHidden/>
    <w:unhideWhenUsed/>
    <w:rsid w:val="00E219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198E"/>
  </w:style>
  <w:style w:type="paragraph" w:styleId="a6">
    <w:name w:val="Balloon Text"/>
    <w:basedOn w:val="a"/>
    <w:link w:val="Char"/>
    <w:uiPriority w:val="99"/>
    <w:semiHidden/>
    <w:unhideWhenUsed/>
    <w:rsid w:val="00E2198E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2198E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0201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0201CD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0201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0201CD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9A0A20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9A0A20"/>
  </w:style>
  <w:style w:type="table" w:styleId="aa">
    <w:name w:val="Table Grid"/>
    <w:basedOn w:val="a1"/>
    <w:uiPriority w:val="59"/>
    <w:rsid w:val="00EE314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9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2198E"/>
    <w:rPr>
      <w:b/>
      <w:bCs/>
    </w:rPr>
  </w:style>
  <w:style w:type="character" w:styleId="a5">
    <w:name w:val="Hyperlink"/>
    <w:basedOn w:val="a0"/>
    <w:uiPriority w:val="99"/>
    <w:semiHidden/>
    <w:unhideWhenUsed/>
    <w:rsid w:val="00E219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198E"/>
  </w:style>
  <w:style w:type="paragraph" w:styleId="a6">
    <w:name w:val="Balloon Text"/>
    <w:basedOn w:val="a"/>
    <w:link w:val="Char"/>
    <w:uiPriority w:val="99"/>
    <w:semiHidden/>
    <w:unhideWhenUsed/>
    <w:rsid w:val="00E2198E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2198E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0201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0201CD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0201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0201CD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9A0A20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9A0A20"/>
  </w:style>
  <w:style w:type="table" w:styleId="aa">
    <w:name w:val="Table Grid"/>
    <w:basedOn w:val="a1"/>
    <w:uiPriority w:val="59"/>
    <w:rsid w:val="00EE314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454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78566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6441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single" w:sz="2" w:space="0" w:color="EDEDED"/>
                <w:bottom w:val="single" w:sz="2" w:space="0" w:color="EDEDED"/>
                <w:right w:val="single" w:sz="2" w:space="0" w:color="EDEDED"/>
              </w:divBdr>
              <w:divsChild>
                <w:div w:id="171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18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20756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2479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2667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848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545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7089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</w:divsChild>
            </w:div>
            <w:div w:id="1763870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single" w:sz="2" w:space="0" w:color="EDEDED"/>
                <w:bottom w:val="single" w:sz="2" w:space="0" w:color="EDEDED"/>
                <w:right w:val="single" w:sz="2" w:space="0" w:color="EDEDED"/>
              </w:divBdr>
              <w:divsChild>
                <w:div w:id="7389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879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39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8941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2570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8731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6992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5544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0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735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47874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09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single" w:sz="2" w:space="0" w:color="EDEDED"/>
                <w:bottom w:val="single" w:sz="2" w:space="0" w:color="EDEDED"/>
                <w:right w:val="single" w:sz="2" w:space="0" w:color="EDEDED"/>
              </w:divBdr>
              <w:divsChild>
                <w:div w:id="12292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77375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2652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1958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2721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5492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5613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2120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</w:divsChild>
            </w:div>
            <w:div w:id="177486407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single" w:sz="2" w:space="0" w:color="EDEDED"/>
                <w:bottom w:val="single" w:sz="2" w:space="0" w:color="EDEDED"/>
                <w:right w:val="single" w:sz="2" w:space="0" w:color="EDEDED"/>
              </w:divBdr>
              <w:divsChild>
                <w:div w:id="164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21373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48427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511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1284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4348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1225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5886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4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2632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2343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79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single" w:sz="2" w:space="0" w:color="EDEDED"/>
                <w:bottom w:val="single" w:sz="2" w:space="0" w:color="EDEDED"/>
                <w:right w:val="single" w:sz="2" w:space="0" w:color="EDEDED"/>
              </w:divBdr>
              <w:divsChild>
                <w:div w:id="281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2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7579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9922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20504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2832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0904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21372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</w:divsChild>
            </w:div>
            <w:div w:id="19948685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single" w:sz="2" w:space="0" w:color="EDEDED"/>
                <w:bottom w:val="single" w:sz="2" w:space="0" w:color="EDEDED"/>
                <w:right w:val="single" w:sz="2" w:space="0" w:color="EDEDED"/>
              </w:divBdr>
              <w:divsChild>
                <w:div w:id="13634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521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438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2389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17835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5555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5842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  <w:div w:id="395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72291-842E-47D9-9C4C-4734551C6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241</Words>
  <Characters>1374</Characters>
  <Application>Microsoft Office Word</Application>
  <DocSecurity>0</DocSecurity>
  <Lines>11</Lines>
  <Paragraphs>3</Paragraphs>
  <ScaleCrop>false</ScaleCrop>
  <Company>Lenovo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2105-245</cp:lastModifiedBy>
  <cp:revision>2</cp:revision>
  <cp:lastPrinted>2014-09-12T07:34:00Z</cp:lastPrinted>
  <dcterms:created xsi:type="dcterms:W3CDTF">2014-09-12T10:52:00Z</dcterms:created>
  <dcterms:modified xsi:type="dcterms:W3CDTF">2014-09-12T10:52:00Z</dcterms:modified>
</cp:coreProperties>
</file>