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第九届“全国杰出青年法学家”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杨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彪    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中山大学法学院            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中山大学法学院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snapToGrid w:val="0"/>
        <w:rPr>
          <w:rFonts w:hint="eastAsia" w:eastAsia="仿宋_GB2312"/>
          <w:b/>
          <w:bCs/>
          <w:szCs w:val="21"/>
          <w:u w:val="single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2019年5月印制</w:t>
      </w:r>
    </w:p>
    <w:p>
      <w:pPr>
        <w:snapToGrid w:val="0"/>
        <w:rPr>
          <w:rFonts w:hint="eastAsia" w:eastAsia="仿宋_GB2312"/>
          <w:szCs w:val="21"/>
        </w:rPr>
      </w:pPr>
    </w:p>
    <w:p>
      <w:pPr>
        <w:spacing w:line="440" w:lineRule="exact"/>
        <w:jc w:val="center"/>
        <w:rPr>
          <w:rFonts w:hint="eastAsia"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一、表一为推荐单位或指导推荐人填写，表二为推荐候选人工作单位党委（党组）填写并盖章，表三为推荐候选人工作单位纪检监察部门填写并盖章，表四为推荐单位填写并盖章。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四、请各推荐单位于2019年6月30日之前，将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—2部（独著）、学术论文3—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人：王小红  周  杨  010-66182129  66135703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北京市海淀区皂君庙四号院中国法学会研究部1315室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t>qnfxj201</w:t>
      </w:r>
      <w:r>
        <w:rPr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Fonts w:ascii="仿宋" w:hAnsi="仿宋" w:eastAsia="仿宋"/>
          <w:color w:val="000000"/>
          <w:sz w:val="28"/>
          <w:szCs w:val="28"/>
        </w:rPr>
        <w:t>@1</w:t>
      </w:r>
      <w:r>
        <w:rPr>
          <w:rFonts w:hint="eastAsia" w:ascii="仿宋" w:hAnsi="仿宋" w:eastAsia="仿宋"/>
          <w:color w:val="000000"/>
          <w:sz w:val="28"/>
          <w:szCs w:val="28"/>
        </w:rPr>
        <w:t>63</w:t>
      </w:r>
      <w:r>
        <w:rPr>
          <w:rFonts w:ascii="仿宋" w:hAnsi="仿宋" w:eastAsia="仿宋"/>
          <w:color w:val="000000"/>
          <w:sz w:val="28"/>
          <w:szCs w:val="28"/>
        </w:rPr>
        <w:t>.com</w:t>
      </w:r>
    </w:p>
    <w:p>
      <w:pPr>
        <w:rPr>
          <w:rFonts w:hint="eastAsia" w:ascii="宋体" w:hAnsi="宋体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杨彪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1122680" cy="16414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4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980.1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中山大学法学院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广东省广州市新港西路1</w:t>
            </w:r>
            <w:r>
              <w:rPr>
                <w:rFonts w:ascii="宋体" w:hAnsi="宋体"/>
                <w:bCs/>
                <w:color w:val="000000"/>
                <w:sz w:val="24"/>
              </w:rPr>
              <w:t>35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号中山大学法学院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999年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9月至2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003年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6月，中山大学法学院法学专业学习，获法学学士学位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003年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9月至2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005年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6月，中山大学法学院民商法专业硕士研究生，获法学硕士学位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2005年7月至2008年10月，广东省高级人民法院，历任科员、副主任科员、书记员、助理审判员（其间：2005年9月至2008年6月，中国人民大学法学院民商法专业在职博士研究生学习，获法学博士学位）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2008年11月至2011年12月，中山大学法学院讲师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2011年12月至2016年12月，中山大学法学院副教授（其间：2013年12月获硕士生导师资格；2015年5月，入选“广东特支计划”青年文化英才）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2015年3月至2016年2月，广州市黄埔区人民法院院长助理（中央政法委、教育部“双千计划”挂职锻炼）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560" w:firstLineChars="200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年1月至今，中山大学法学院教授（2016年6月获博士生导师资格）</w:t>
            </w: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代表性论著：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．杨彪：《</w:t>
            </w:r>
            <w:r>
              <w:rPr>
                <w:rFonts w:ascii="宋体" w:hAnsi="宋体"/>
                <w:color w:val="000000"/>
                <w:sz w:val="24"/>
              </w:rPr>
              <w:t>可得利益的民法治理：一种侵权法的理论诠释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，北京大学出版社201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>版，2</w:t>
            </w:r>
            <w:r>
              <w:rPr>
                <w:rFonts w:ascii="宋体" w:hAnsi="宋体"/>
                <w:color w:val="000000"/>
                <w:sz w:val="24"/>
              </w:rPr>
              <w:t>5.2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．杨彪：“司法认知偏差与量化裁判中的锚定效应”，《中国法学》201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年第6期，</w:t>
            </w:r>
            <w:r>
              <w:rPr>
                <w:rFonts w:ascii="宋体" w:hAnsi="宋体"/>
                <w:color w:val="000000"/>
                <w:sz w:val="24"/>
              </w:rPr>
              <w:t>《人大复印资料（</w:t>
            </w:r>
            <w:r>
              <w:rPr>
                <w:rFonts w:hint="eastAsia" w:ascii="宋体" w:hAnsi="宋体"/>
                <w:color w:val="000000"/>
                <w:sz w:val="24"/>
              </w:rPr>
              <w:t>诉讼法学、司法制度</w:t>
            </w:r>
            <w:r>
              <w:rPr>
                <w:rFonts w:ascii="宋体" w:hAnsi="宋体"/>
                <w:color w:val="000000"/>
                <w:sz w:val="24"/>
              </w:rPr>
              <w:t>）》2018年第2期全文转载</w:t>
            </w:r>
            <w:r>
              <w:rPr>
                <w:rFonts w:hint="eastAsia" w:ascii="宋体" w:hAnsi="宋体"/>
                <w:color w:val="000000"/>
                <w:sz w:val="24"/>
              </w:rPr>
              <w:t>，2</w:t>
            </w:r>
            <w:r>
              <w:rPr>
                <w:rFonts w:ascii="宋体" w:hAnsi="宋体"/>
                <w:color w:val="000000"/>
                <w:sz w:val="24"/>
              </w:rPr>
              <w:t>.2</w:t>
            </w:r>
            <w:r>
              <w:rPr>
                <w:rFonts w:hint="eastAsia" w:ascii="宋体" w:hAnsi="宋体"/>
                <w:color w:val="000000"/>
                <w:sz w:val="24"/>
              </w:rPr>
              <w:t>万字，中国知网被引用数：5次。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．杨彪：“广告法律规制的市场效应及其策略检讨——来自中国医药行业的经验证据”，《法学家》2016年第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期，2</w:t>
            </w:r>
            <w:r>
              <w:rPr>
                <w:rFonts w:ascii="宋体" w:hAnsi="宋体"/>
                <w:color w:val="000000"/>
                <w:sz w:val="24"/>
              </w:rPr>
              <w:t>.4</w:t>
            </w:r>
            <w:r>
              <w:rPr>
                <w:rFonts w:hint="eastAsia" w:ascii="宋体" w:hAnsi="宋体"/>
                <w:color w:val="000000"/>
                <w:sz w:val="24"/>
              </w:rPr>
              <w:t>万字，中国知网被引用数：5次。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．杨彪：“信息治理与社会歧视——中国隐私立法的策略与实践”，《社会学研究》2015年第6期，</w:t>
            </w:r>
            <w:r>
              <w:rPr>
                <w:rFonts w:ascii="宋体" w:hAnsi="宋体"/>
                <w:color w:val="000000"/>
                <w:sz w:val="24"/>
              </w:rPr>
              <w:t>《人大复印资料（</w:t>
            </w:r>
            <w:r>
              <w:rPr>
                <w:rFonts w:hint="eastAsia" w:ascii="宋体" w:hAnsi="宋体"/>
                <w:color w:val="000000"/>
                <w:sz w:val="24"/>
              </w:rPr>
              <w:t>社会学</w:t>
            </w:r>
            <w:r>
              <w:rPr>
                <w:rFonts w:ascii="宋体" w:hAnsi="宋体"/>
                <w:color w:val="000000"/>
                <w:sz w:val="24"/>
              </w:rPr>
              <w:t>）》2016年第3期转载</w:t>
            </w:r>
            <w:r>
              <w:rPr>
                <w:rFonts w:hint="eastAsia" w:ascii="宋体" w:hAnsi="宋体"/>
                <w:color w:val="000000"/>
                <w:sz w:val="24"/>
              </w:rPr>
              <w:t>，2</w:t>
            </w:r>
            <w:r>
              <w:rPr>
                <w:rFonts w:ascii="宋体" w:hAnsi="宋体"/>
                <w:color w:val="000000"/>
                <w:sz w:val="24"/>
              </w:rPr>
              <w:t>.1</w:t>
            </w:r>
            <w:r>
              <w:rPr>
                <w:rFonts w:hint="eastAsia" w:ascii="宋体" w:hAnsi="宋体"/>
                <w:color w:val="000000"/>
                <w:sz w:val="24"/>
              </w:rPr>
              <w:t>万字，中国知网被引用数：4次。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5．杨彪：“代孕协议的可执行性问题：市场、道德与法律”，《政法论坛》2015年第4期，1</w:t>
            </w:r>
            <w:r>
              <w:rPr>
                <w:rFonts w:ascii="宋体" w:hAnsi="宋体"/>
                <w:color w:val="000000"/>
                <w:sz w:val="24"/>
              </w:rPr>
              <w:t>.9</w:t>
            </w:r>
            <w:r>
              <w:rPr>
                <w:rFonts w:hint="eastAsia" w:ascii="宋体" w:hAnsi="宋体"/>
                <w:color w:val="000000"/>
                <w:sz w:val="24"/>
              </w:rPr>
              <w:t>万字，中国知网被引用数：5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．杨彪：“不可让与性与人格权的政治经济学：一个新的解释框架”，《法律科学》2015年第1期，2</w:t>
            </w:r>
            <w:r>
              <w:rPr>
                <w:rFonts w:ascii="宋体" w:hAnsi="宋体"/>
                <w:color w:val="000000"/>
                <w:sz w:val="24"/>
              </w:rPr>
              <w:t>.2</w:t>
            </w:r>
            <w:r>
              <w:rPr>
                <w:rFonts w:hint="eastAsia" w:ascii="宋体" w:hAnsi="宋体"/>
                <w:color w:val="000000"/>
                <w:sz w:val="24"/>
              </w:rPr>
              <w:t>万字，中国知网被引用数：</w:t>
            </w:r>
            <w:r>
              <w:rPr>
                <w:rFonts w:ascii="宋体" w:hAnsi="宋体"/>
                <w:color w:val="000000"/>
                <w:sz w:val="24"/>
              </w:rPr>
              <w:t>14</w:t>
            </w:r>
            <w:r>
              <w:rPr>
                <w:rFonts w:hint="eastAsia" w:ascii="宋体" w:hAnsi="宋体"/>
                <w:color w:val="000000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其他</w:t>
            </w:r>
            <w:r>
              <w:rPr>
                <w:rFonts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学术著作</w:t>
            </w:r>
            <w:r>
              <w:rPr>
                <w:rFonts w:hint="eastAsia"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1．</w:t>
            </w:r>
            <w:r>
              <w:rPr>
                <w:rFonts w:hint="eastAsia" w:ascii="宋体" w:hAnsi="宋体"/>
                <w:color w:val="000000"/>
                <w:sz w:val="24"/>
              </w:rPr>
              <w:t>杨彪：《</w:t>
            </w:r>
            <w:r>
              <w:rPr>
                <w:rFonts w:ascii="宋体" w:hAnsi="宋体"/>
                <w:color w:val="000000"/>
                <w:sz w:val="24"/>
              </w:rPr>
              <w:t>动物损害与物件损害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，中国法制出版社2010年</w:t>
            </w:r>
            <w:r>
              <w:rPr>
                <w:rFonts w:hint="eastAsia" w:ascii="宋体" w:hAnsi="宋体"/>
                <w:color w:val="000000"/>
                <w:sz w:val="24"/>
              </w:rPr>
              <w:t>版，2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2．</w:t>
            </w:r>
            <w:r>
              <w:rPr>
                <w:rFonts w:hint="eastAsia" w:ascii="宋体" w:hAnsi="宋体"/>
                <w:color w:val="000000"/>
                <w:sz w:val="24"/>
              </w:rPr>
              <w:t>张民安、杨彪：《</w:t>
            </w:r>
            <w:r>
              <w:rPr>
                <w:rFonts w:ascii="宋体" w:hAnsi="宋体"/>
                <w:color w:val="000000"/>
                <w:sz w:val="24"/>
              </w:rPr>
              <w:t>侵权责任法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，高等教育出版社2011年</w:t>
            </w:r>
            <w:r>
              <w:rPr>
                <w:rFonts w:hint="eastAsia" w:ascii="宋体" w:hAnsi="宋体"/>
                <w:color w:val="000000"/>
                <w:sz w:val="24"/>
              </w:rPr>
              <w:t>版，6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楷体_GB2312" w:hAnsi="楷体" w:eastAsia="楷体_GB2312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其他</w:t>
            </w:r>
            <w:r>
              <w:rPr>
                <w:rFonts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学术论文</w:t>
            </w:r>
            <w:r>
              <w:rPr>
                <w:rFonts w:hint="eastAsia" w:ascii="黑体" w:hAnsi="黑体" w:eastAsia="黑体" w:cs="Arial"/>
                <w:b/>
                <w:bCs/>
                <w:color w:val="222222"/>
                <w:kern w:val="0"/>
                <w:sz w:val="28"/>
                <w:szCs w:val="28"/>
              </w:rPr>
              <w:t>（除特别注明外，均为独著）：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1．杨彪：“禀赋效应、诉讼要价与精神损害赔偿——基于地方司法统计数据的认知心理学分析”，《法学家》2018年第3期，1.</w:t>
            </w:r>
            <w:r>
              <w:rPr>
                <w:rFonts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．杨彪：“侵权禁令与执法替代：风险社会公共治理的新思路”，《法制与社会发展》2017年第4期，</w:t>
            </w:r>
            <w:r>
              <w:rPr>
                <w:rFonts w:ascii="宋体" w:hAnsi="宋体"/>
                <w:color w:val="000000"/>
                <w:sz w:val="24"/>
              </w:rPr>
              <w:t>《人大复印资料（</w:t>
            </w:r>
            <w:r>
              <w:rPr>
                <w:rFonts w:hint="eastAsia" w:ascii="宋体" w:hAnsi="宋体"/>
                <w:color w:val="000000"/>
                <w:sz w:val="24"/>
              </w:rPr>
              <w:t>宪法学、</w:t>
            </w:r>
            <w:r>
              <w:rPr>
                <w:rFonts w:ascii="宋体" w:hAnsi="宋体"/>
                <w:color w:val="000000"/>
                <w:sz w:val="24"/>
              </w:rPr>
              <w:t>行政法学）》2017年第10期全文转载</w:t>
            </w:r>
            <w:r>
              <w:rPr>
                <w:rFonts w:hint="eastAsia" w:ascii="宋体" w:hAnsi="宋体"/>
                <w:color w:val="000000"/>
                <w:sz w:val="24"/>
              </w:rPr>
              <w:t>，2.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．杨彪、叶琪：“意向书的法律约束力”，《中山大学学报（社会科学版）》2016年第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期，1.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杨彪：“名誉权私法救济观念的批判与重构”，《中山大学学报（社会科学版）》2014年第6期，1</w:t>
            </w:r>
            <w:r>
              <w:rPr>
                <w:rFonts w:ascii="宋体" w:hAnsi="宋体"/>
                <w:color w:val="000000"/>
                <w:sz w:val="24"/>
              </w:rPr>
              <w:t>.2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医疗专业性如何可能</w:t>
            </w:r>
            <w:r>
              <w:rPr>
                <w:rFonts w:hint="eastAsia" w:ascii="宋体" w:hAnsi="宋体"/>
                <w:color w:val="000000"/>
                <w:sz w:val="24"/>
              </w:rPr>
              <w:t>——</w:t>
            </w:r>
            <w:r>
              <w:rPr>
                <w:rFonts w:ascii="宋体" w:hAnsi="宋体"/>
                <w:color w:val="000000"/>
                <w:sz w:val="24"/>
              </w:rPr>
              <w:t>医师责任与医院责任的比较分析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，《清华法学》2012年第4期，《人大复印资料（民商法学）》2012年第11期转载</w:t>
            </w:r>
            <w:r>
              <w:rPr>
                <w:rFonts w:hint="eastAsia" w:ascii="宋体" w:hAnsi="宋体"/>
                <w:color w:val="000000"/>
                <w:sz w:val="24"/>
              </w:rPr>
              <w:t>，2</w:t>
            </w:r>
            <w:r>
              <w:rPr>
                <w:rFonts w:ascii="宋体" w:hAnsi="宋体"/>
                <w:color w:val="000000"/>
                <w:sz w:val="24"/>
              </w:rPr>
              <w:t>.1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公共政策、医疗行为与责任配置</w:t>
            </w:r>
            <w:r>
              <w:rPr>
                <w:rFonts w:hint="eastAsia" w:ascii="宋体" w:hAnsi="宋体"/>
                <w:color w:val="000000"/>
                <w:sz w:val="24"/>
              </w:rPr>
              <w:t>——</w:t>
            </w:r>
            <w:r>
              <w:rPr>
                <w:rFonts w:ascii="宋体" w:hAnsi="宋体"/>
                <w:color w:val="000000"/>
                <w:sz w:val="24"/>
              </w:rPr>
              <w:t>关于医疗损害责任制度绩效的观察和评论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，《现代法学》2011年第5期，《人大复印资料（民商法学）》2012年第2期转载</w:t>
            </w:r>
            <w:r>
              <w:rPr>
                <w:rFonts w:hint="eastAsia" w:ascii="宋体" w:hAnsi="宋体"/>
                <w:color w:val="000000"/>
                <w:sz w:val="24"/>
              </w:rPr>
              <w:t>，1</w:t>
            </w:r>
            <w:r>
              <w:rPr>
                <w:rFonts w:ascii="宋体" w:hAnsi="宋体"/>
                <w:color w:val="000000"/>
                <w:sz w:val="24"/>
              </w:rPr>
              <w:t>.6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论侵权责任法对产品损害预防体系的改造</w:t>
            </w:r>
            <w:r>
              <w:rPr>
                <w:rFonts w:hint="eastAsia" w:ascii="宋体" w:hAnsi="宋体"/>
                <w:color w:val="000000"/>
                <w:sz w:val="24"/>
              </w:rPr>
              <w:t>——</w:t>
            </w:r>
            <w:r>
              <w:rPr>
                <w:rFonts w:ascii="宋体" w:hAnsi="宋体"/>
                <w:color w:val="000000"/>
                <w:sz w:val="24"/>
              </w:rPr>
              <w:t>基于产品非损害赔偿请求权的确立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，《法商研究》2011年第3期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非损害赔偿侵权责任方式的法理与实践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，《法制与社会发展》2011年第3期</w:t>
            </w:r>
            <w:r>
              <w:rPr>
                <w:rFonts w:hint="eastAsia" w:ascii="宋体" w:hAnsi="宋体"/>
                <w:color w:val="000000"/>
                <w:sz w:val="24"/>
              </w:rPr>
              <w:t>，2</w:t>
            </w:r>
            <w:r>
              <w:rPr>
                <w:rFonts w:ascii="宋体" w:hAnsi="宋体"/>
                <w:color w:val="000000"/>
                <w:sz w:val="24"/>
              </w:rPr>
              <w:t>.9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身份关系的现代性回归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，《河南省政法管理干部学院学报》2010年第5期</w:t>
            </w:r>
            <w:r>
              <w:rPr>
                <w:rFonts w:hint="eastAsia" w:ascii="宋体" w:hAnsi="宋体"/>
                <w:color w:val="000000"/>
                <w:sz w:val="24"/>
              </w:rPr>
              <w:t>，2万字。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杨彪：“《</w:t>
            </w:r>
            <w:r>
              <w:rPr>
                <w:rFonts w:ascii="宋体" w:hAnsi="宋体"/>
                <w:color w:val="000000"/>
                <w:sz w:val="24"/>
              </w:rPr>
              <w:t>侵权责任法</w:t>
            </w:r>
            <w:r>
              <w:rPr>
                <w:rFonts w:hint="eastAsia" w:ascii="宋体" w:hAnsi="宋体"/>
                <w:color w:val="000000"/>
                <w:sz w:val="24"/>
              </w:rPr>
              <w:t>》</w:t>
            </w:r>
            <w:r>
              <w:rPr>
                <w:rFonts w:ascii="宋体" w:hAnsi="宋体"/>
                <w:color w:val="000000"/>
                <w:sz w:val="24"/>
              </w:rPr>
              <w:t>中物件致害责任的体系解释与结构分析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，《法学杂志》2010年第3期</w:t>
            </w:r>
            <w:r>
              <w:rPr>
                <w:rFonts w:hint="eastAsia" w:ascii="宋体" w:hAnsi="宋体"/>
                <w:color w:val="000000"/>
                <w:sz w:val="24"/>
              </w:rPr>
              <w:t>，1</w:t>
            </w:r>
            <w:r>
              <w:rPr>
                <w:rFonts w:ascii="宋体" w:hAnsi="宋体"/>
                <w:color w:val="000000"/>
                <w:sz w:val="24"/>
              </w:rPr>
              <w:t>.2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受益型侵权行为研究</w:t>
            </w:r>
            <w:r>
              <w:rPr>
                <w:rFonts w:hint="eastAsia" w:ascii="宋体" w:hAnsi="宋体"/>
                <w:color w:val="000000"/>
                <w:sz w:val="24"/>
              </w:rPr>
              <w:t>——</w:t>
            </w:r>
            <w:r>
              <w:rPr>
                <w:rFonts w:ascii="宋体" w:hAnsi="宋体"/>
                <w:color w:val="000000"/>
                <w:sz w:val="24"/>
              </w:rPr>
              <w:t>兼论损害赔偿法的晚近发展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，《法商研究》2009年第5期，《人大复印资料（民商法学）》2010年第1期转载</w:t>
            </w:r>
            <w:r>
              <w:rPr>
                <w:rFonts w:hint="eastAsia" w:ascii="宋体" w:hAnsi="宋体"/>
                <w:color w:val="000000"/>
                <w:sz w:val="24"/>
              </w:rPr>
              <w:t>，1</w:t>
            </w:r>
            <w:r>
              <w:rPr>
                <w:rFonts w:ascii="宋体" w:hAnsi="宋体"/>
                <w:color w:val="000000"/>
                <w:sz w:val="24"/>
              </w:rPr>
              <w:t>.9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论恢复原状独立性之否定</w:t>
            </w:r>
            <w:r>
              <w:rPr>
                <w:rFonts w:hint="eastAsia" w:ascii="宋体" w:hAnsi="宋体"/>
                <w:color w:val="000000"/>
                <w:sz w:val="24"/>
              </w:rPr>
              <w:t>——</w:t>
            </w:r>
            <w:r>
              <w:rPr>
                <w:rFonts w:ascii="宋体" w:hAnsi="宋体"/>
                <w:color w:val="000000"/>
                <w:sz w:val="24"/>
              </w:rPr>
              <w:t>兼及我国民事责任体系之重构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，《法学论坛》2009年第5期</w:t>
            </w:r>
            <w:r>
              <w:rPr>
                <w:rFonts w:hint="eastAsia" w:ascii="宋体" w:hAnsi="宋体"/>
                <w:color w:val="000000"/>
                <w:sz w:val="24"/>
              </w:rPr>
              <w:t>，1</w:t>
            </w:r>
            <w:r>
              <w:rPr>
                <w:rFonts w:ascii="宋体" w:hAnsi="宋体"/>
                <w:color w:val="000000"/>
                <w:sz w:val="24"/>
              </w:rPr>
              <w:t>.1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可得利益损害赔偿的变迁与展望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，《北方法学》2009年第6期</w:t>
            </w:r>
            <w:r>
              <w:rPr>
                <w:rFonts w:hint="eastAsia" w:ascii="宋体" w:hAnsi="宋体"/>
                <w:color w:val="000000"/>
                <w:sz w:val="24"/>
              </w:rPr>
              <w:t>，1</w:t>
            </w:r>
            <w:r>
              <w:rPr>
                <w:rFonts w:ascii="宋体" w:hAnsi="宋体"/>
                <w:color w:val="000000"/>
                <w:sz w:val="24"/>
              </w:rPr>
              <w:t>.1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14．</w:t>
            </w:r>
            <w:r>
              <w:rPr>
                <w:rFonts w:hint="eastAsia" w:ascii="宋体" w:hAnsi="宋体"/>
                <w:color w:val="000000"/>
                <w:sz w:val="24"/>
              </w:rPr>
              <w:t>杨立新、杨彪：“</w:t>
            </w:r>
            <w:r>
              <w:rPr>
                <w:rFonts w:ascii="宋体" w:hAnsi="宋体"/>
                <w:color w:val="000000"/>
                <w:sz w:val="24"/>
              </w:rPr>
              <w:t>侵权法中的可救济性损害理论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，《政治与法律》2007年第6期</w:t>
            </w:r>
            <w:r>
              <w:rPr>
                <w:rFonts w:hint="eastAsia" w:ascii="宋体" w:hAnsi="宋体"/>
                <w:color w:val="000000"/>
                <w:sz w:val="24"/>
              </w:rPr>
              <w:t>（第二作者），1</w:t>
            </w:r>
            <w:r>
              <w:rPr>
                <w:rFonts w:ascii="宋体" w:hAnsi="宋体"/>
                <w:color w:val="000000"/>
                <w:sz w:val="24"/>
              </w:rPr>
              <w:t>.7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侵权行为法中的诚实信用原则研究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，《环球法律评论》2007年第4期，《人大复印资料（民商法学）》2007年第11期转载</w:t>
            </w:r>
            <w:r>
              <w:rPr>
                <w:rFonts w:hint="eastAsia" w:ascii="宋体" w:hAnsi="宋体"/>
                <w:color w:val="000000"/>
                <w:sz w:val="24"/>
              </w:rPr>
              <w:t>，2</w:t>
            </w:r>
            <w:r>
              <w:rPr>
                <w:rFonts w:ascii="宋体" w:hAnsi="宋体"/>
                <w:color w:val="000000"/>
                <w:sz w:val="24"/>
              </w:rPr>
              <w:t>.6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中国司法改革之挑战、意蕴及反思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，《法律适用》2006年第8期</w:t>
            </w:r>
            <w:r>
              <w:rPr>
                <w:rFonts w:hint="eastAsia" w:ascii="宋体" w:hAnsi="宋体"/>
                <w:color w:val="000000"/>
                <w:sz w:val="24"/>
              </w:rPr>
              <w:t>，1.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17．</w:t>
            </w:r>
            <w:r>
              <w:rPr>
                <w:rFonts w:hint="eastAsia" w:ascii="宋体" w:hAnsi="宋体"/>
                <w:color w:val="000000"/>
                <w:sz w:val="24"/>
              </w:rPr>
              <w:t>杨彪：“</w:t>
            </w:r>
            <w:r>
              <w:rPr>
                <w:rFonts w:ascii="宋体" w:hAnsi="宋体"/>
                <w:color w:val="000000"/>
                <w:sz w:val="24"/>
              </w:rPr>
              <w:t>律师专家责任认定的若干问题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，《法学》2006年第4期</w:t>
            </w:r>
            <w:r>
              <w:rPr>
                <w:rFonts w:hint="eastAsia" w:ascii="宋体" w:hAnsi="宋体"/>
                <w:color w:val="000000"/>
                <w:sz w:val="24"/>
              </w:rPr>
              <w:t>，0</w:t>
            </w:r>
            <w:r>
              <w:rPr>
                <w:rFonts w:ascii="宋体" w:hAnsi="宋体"/>
                <w:color w:val="000000"/>
                <w:sz w:val="24"/>
              </w:rPr>
              <w:t>.9</w:t>
            </w:r>
            <w:r>
              <w:rPr>
                <w:rFonts w:hint="eastAsia" w:ascii="宋体" w:hAnsi="宋体"/>
                <w:color w:val="000000"/>
                <w:sz w:val="24"/>
              </w:rPr>
              <w:t>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（如编写重点教材、主讲精品课程、在法学教育方面获得的重要荣誉表彰等。）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候选人始终围绕中山大学“德才兼备、领袖气质、家国情怀”的人才培养目标，深入研究部新时期法学教育的新要求和新规律，寻找合乎法学内在本质又有鲜明的中大特色的法学教育模式，积极参与创新教学实验，探索创新课堂教学方式和师生互动模式，将法学理论教育与实践教育有机结合在一起，取得良好的教学效果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在探索法学实践教学方面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候选人依托中山大学法学</w:t>
            </w:r>
            <w:r>
              <w:rPr>
                <w:rFonts w:hint="eastAsia" w:ascii="宋体" w:hAnsi="宋体"/>
                <w:color w:val="000000"/>
                <w:sz w:val="24"/>
              </w:rPr>
              <w:t>实验</w:t>
            </w:r>
            <w:r>
              <w:rPr>
                <w:rFonts w:ascii="宋体" w:hAnsi="宋体"/>
                <w:color w:val="000000"/>
                <w:sz w:val="24"/>
              </w:rPr>
              <w:t>教学示范中心</w:t>
            </w:r>
            <w:r>
              <w:rPr>
                <w:rFonts w:hint="eastAsia" w:ascii="宋体" w:hAnsi="宋体"/>
                <w:color w:val="000000"/>
                <w:sz w:val="24"/>
              </w:rPr>
              <w:t>，该教学中心是</w:t>
            </w:r>
            <w:r>
              <w:rPr>
                <w:rFonts w:ascii="宋体" w:hAnsi="宋体"/>
                <w:color w:val="000000"/>
                <w:sz w:val="24"/>
              </w:rPr>
              <w:t>华南地区首个法学国家级实验教学示范中心、教育部实践教育基地、教育部应用型复合型卓越法律人才教育培养基地，是教育部法学专业综合改革试点单位</w:t>
            </w:r>
            <w:r>
              <w:rPr>
                <w:rFonts w:hint="eastAsia" w:ascii="宋体" w:hAnsi="宋体"/>
                <w:color w:val="000000"/>
                <w:sz w:val="24"/>
              </w:rPr>
              <w:t>，协助学院</w:t>
            </w:r>
            <w:r>
              <w:rPr>
                <w:rFonts w:ascii="宋体" w:hAnsi="宋体"/>
                <w:color w:val="000000"/>
                <w:sz w:val="24"/>
              </w:rPr>
              <w:t>着力</w:t>
            </w:r>
            <w:r>
              <w:rPr>
                <w:rFonts w:hint="eastAsia" w:ascii="宋体" w:hAnsi="宋体"/>
                <w:color w:val="000000"/>
                <w:sz w:val="24"/>
              </w:rPr>
              <w:t>创新卓越法律人才的培养机制，通过</w:t>
            </w:r>
            <w:r>
              <w:rPr>
                <w:rFonts w:ascii="宋体" w:hAnsi="宋体"/>
                <w:color w:val="000000"/>
                <w:sz w:val="24"/>
              </w:rPr>
              <w:t>首创</w:t>
            </w:r>
            <w:r>
              <w:rPr>
                <w:rFonts w:hint="eastAsia" w:ascii="宋体" w:hAnsi="宋体"/>
                <w:color w:val="000000"/>
                <w:sz w:val="24"/>
              </w:rPr>
              <w:t>实践</w:t>
            </w:r>
            <w:r>
              <w:rPr>
                <w:rFonts w:ascii="宋体" w:hAnsi="宋体"/>
                <w:color w:val="000000"/>
                <w:sz w:val="24"/>
              </w:rPr>
              <w:t>教学的全国示范法院，</w:t>
            </w:r>
            <w:r>
              <w:rPr>
                <w:rFonts w:hint="eastAsia" w:ascii="宋体" w:hAnsi="宋体"/>
                <w:color w:val="000000"/>
                <w:sz w:val="24"/>
              </w:rPr>
              <w:t>建立</w:t>
            </w:r>
            <w:r>
              <w:rPr>
                <w:rFonts w:ascii="宋体" w:hAnsi="宋体"/>
                <w:color w:val="000000"/>
                <w:sz w:val="24"/>
              </w:rPr>
              <w:t>法律博士联合培养机制</w:t>
            </w:r>
            <w:r>
              <w:rPr>
                <w:rFonts w:hint="eastAsia" w:ascii="宋体" w:hAnsi="宋体"/>
                <w:color w:val="000000"/>
                <w:sz w:val="24"/>
              </w:rPr>
              <w:t>以及成立中英</w:t>
            </w:r>
            <w:r>
              <w:rPr>
                <w:rFonts w:ascii="宋体" w:hAnsi="宋体"/>
                <w:color w:val="000000"/>
                <w:sz w:val="24"/>
              </w:rPr>
              <w:t>国际海事法学院等全面提升法律人才的培养质量，</w:t>
            </w:r>
            <w:r>
              <w:rPr>
                <w:rFonts w:hint="eastAsia" w:ascii="宋体" w:hAnsi="宋体"/>
                <w:color w:val="000000"/>
                <w:sz w:val="24"/>
              </w:rPr>
              <w:t>推动</w:t>
            </w:r>
            <w:r>
              <w:rPr>
                <w:rFonts w:ascii="宋体" w:hAnsi="宋体"/>
                <w:color w:val="000000"/>
                <w:sz w:val="24"/>
              </w:rPr>
              <w:t>法学学科的建设和发展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>候选人作为团队核心成员和主要参与者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结合民商法学的学科特点和教学规律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参与了下列教学实践和教学改革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一是参与将全国首创的实践教学示范法院项目做实。开拓实务教育新模式，与国内优秀律所合作首创示范法院，打造更具实操性、更为真实的模拟庭审，并作为专业选修课程正式纳入法学人才培养方案。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</w:t>
            </w:r>
            <w:r>
              <w:rPr>
                <w:rFonts w:ascii="宋体" w:hAnsi="宋体"/>
                <w:color w:val="000000"/>
                <w:sz w:val="24"/>
              </w:rPr>
              <w:t>是注重</w:t>
            </w:r>
            <w:r>
              <w:rPr>
                <w:rFonts w:hint="eastAsia" w:ascii="宋体" w:hAnsi="宋体"/>
                <w:color w:val="000000"/>
                <w:sz w:val="24"/>
              </w:rPr>
              <w:t>实践课程和交叉学科的培养。候选人主持了法学院的法律实务课程，联系了大量合作的律所、法院、检察院、企业单位供学生们和实习单位进行双向选择。采用真实案件甚至是未决案件由律师带领学生进行全真诉讼，意在实现法学理论研究、法律教学与法律实务的充分结合，打造庭审程序、法庭辩论以及裁判文书制作的全国性示范平台，以及法学实践教育的示范性平台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三是</w:t>
            </w:r>
            <w:r>
              <w:rPr>
                <w:rFonts w:hint="eastAsia" w:ascii="宋体" w:hAnsi="宋体"/>
                <w:color w:val="000000"/>
                <w:sz w:val="24"/>
              </w:rPr>
              <w:t>积极践行本科生全程导师制。每年都担任本科生导师，对在校本科生进行全程指导。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此外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候选人还作为骨干教师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参与了</w:t>
            </w:r>
            <w:r>
              <w:rPr>
                <w:rFonts w:hint="eastAsia" w:ascii="宋体" w:hAnsi="宋体"/>
                <w:color w:val="000000"/>
                <w:sz w:val="24"/>
              </w:rPr>
              <w:t>筹建国家级虚拟仿真实验室（中山大学法治虚拟仿真实验室）工作。 该项目学校每年可投入</w:t>
            </w: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hint="eastAsia" w:ascii="宋体" w:hAnsi="宋体"/>
                <w:color w:val="000000"/>
                <w:sz w:val="24"/>
              </w:rPr>
              <w:t>万元左右，逐步运用计算机和网络技术，整合现有全校教师资源、实验教学设备、实习单位资源，通过计算机模拟人大政府法制机构、模拟公安局、模拟检察院、模拟法院、模拟监狱、模拟律师事务所、模拟社区矫正机构等法治主体的活动，同时实时与相关法治主体真实互动，形成虚实结合、校内校外协同的产、学、研“三位一体”的大型实验实训实习中心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kern w:val="0"/>
                <w:sz w:val="32"/>
                <w:szCs w:val="32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在法治宣传方面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担任广州市“六五”普法讲师团成员；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受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广州市司法局委托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起草“广州市法治宣传教育量化测评指标体系”（2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014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《人民法院报》2013年10月17日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发表法治宣传文章“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探索普遍信任的社会治理之道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”。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在法治实践方面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（如在实务部门挂职、参与重大案件论证、仲裁等。）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2015年3月至2016年2月，挂任广州市黄埔区人民法院院长助理（中央政法委、教育部“双千计划”挂职锻炼）；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005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年7月至2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008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年1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月，任职于广东省高级人民法院民四庭，从事涉外涉港澳台民商事审判业务。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015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年9月至今，担任珠海市仲裁委员会委员。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1． 2</w:t>
            </w:r>
            <w:r>
              <w:rPr>
                <w:rFonts w:ascii="宋体" w:hAnsi="宋体"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color w:val="000000"/>
                <w:sz w:val="24"/>
              </w:rPr>
              <w:t>年：论文《司法认知偏差与量化裁判中的锚定效应》获广东省第八届哲学社会科学优秀成果奖二等奖，评奖单位：广东省人民政府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． 2015年：入选“</w:t>
            </w:r>
            <w:r>
              <w:rPr>
                <w:rFonts w:ascii="宋体" w:hAnsi="宋体"/>
                <w:color w:val="000000"/>
                <w:sz w:val="24"/>
              </w:rPr>
              <w:t>广东省培养高层次人才特殊支持计划</w:t>
            </w:r>
            <w:r>
              <w:rPr>
                <w:rFonts w:hint="eastAsia" w:ascii="宋体" w:hAnsi="宋体"/>
                <w:color w:val="000000"/>
                <w:sz w:val="24"/>
              </w:rPr>
              <w:t>”（2014年）青年文化英才（哲学社会科学研究界别），评奖单位：中共广东省委组织部、宣传部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2014年：论文《侵权禁令与执法替代：风险社会公共治理的新思路》获第九届中国青年法学论坛“国家治理现代化与行政诉讼”主题征文活动一等奖，评奖单位：中国法学会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2014年：论文《医疗专业性如何可能——医师责任与医院责任的比较分析》获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ascii="宋体" w:hAnsi="宋体"/>
                <w:color w:val="000000"/>
                <w:sz w:val="24"/>
              </w:rPr>
              <w:t>广东省2010-2012年法学研究优秀成果奖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论文类二等奖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评奖单位：广东省法学会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2014年：入选</w:t>
            </w:r>
            <w:r>
              <w:rPr>
                <w:rFonts w:ascii="宋体" w:hAnsi="宋体"/>
                <w:color w:val="000000"/>
                <w:sz w:val="24"/>
              </w:rPr>
              <w:t>广东省高等学校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ascii="宋体" w:hAnsi="宋体"/>
                <w:color w:val="000000"/>
                <w:sz w:val="24"/>
              </w:rPr>
              <w:t>千百十</w:t>
            </w:r>
            <w:r>
              <w:rPr>
                <w:rFonts w:hint="eastAsia" w:ascii="宋体" w:hAnsi="宋体"/>
                <w:color w:val="000000"/>
                <w:sz w:val="24"/>
              </w:rPr>
              <w:t>人才培养</w:t>
            </w:r>
            <w:r>
              <w:rPr>
                <w:rFonts w:ascii="宋体" w:hAnsi="宋体"/>
                <w:color w:val="000000"/>
                <w:sz w:val="24"/>
              </w:rPr>
              <w:t>工程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第七批继续培养对象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评奖单位：广东省教育厅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2013年：研究报告《广东数字出版产业知识产权法律保护机制研究》获第八届全国知识产权（专利）优秀调研报告暨优秀软科学研究成果评选三等奖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评奖单位：国家知识产权局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2012年：</w:t>
            </w:r>
            <w:r>
              <w:rPr>
                <w:rFonts w:hint="eastAsia" w:ascii="宋体" w:hAnsi="宋体"/>
                <w:color w:val="000000"/>
                <w:sz w:val="24"/>
              </w:rPr>
              <w:t>入选</w:t>
            </w:r>
            <w:r>
              <w:rPr>
                <w:rFonts w:ascii="宋体" w:hAnsi="宋体"/>
                <w:color w:val="000000"/>
                <w:sz w:val="24"/>
              </w:rPr>
              <w:t>广东省高等学校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ascii="宋体" w:hAnsi="宋体"/>
                <w:color w:val="000000"/>
                <w:sz w:val="24"/>
              </w:rPr>
              <w:t>千百十</w:t>
            </w:r>
            <w:r>
              <w:rPr>
                <w:rFonts w:hint="eastAsia" w:ascii="宋体" w:hAnsi="宋体"/>
                <w:color w:val="000000"/>
                <w:sz w:val="24"/>
              </w:rPr>
              <w:t>人才培养</w:t>
            </w:r>
            <w:r>
              <w:rPr>
                <w:rFonts w:ascii="宋体" w:hAnsi="宋体"/>
                <w:color w:val="000000"/>
                <w:sz w:val="24"/>
              </w:rPr>
              <w:t>工程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第七批培养对象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评奖单位：广东省教育厅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2010年：论文《受益型侵权行为研究》获第四届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ascii="宋体" w:hAnsi="宋体"/>
                <w:color w:val="000000"/>
                <w:sz w:val="24"/>
              </w:rPr>
              <w:t>佟柔民商法发展基金青年优秀研究成果奖</w:t>
            </w:r>
            <w:r>
              <w:rPr>
                <w:rFonts w:hint="eastAsia" w:ascii="宋体" w:hAnsi="宋体"/>
                <w:color w:val="000000"/>
                <w:sz w:val="24"/>
              </w:rPr>
              <w:t>”，</w:t>
            </w:r>
            <w:r>
              <w:rPr>
                <w:rFonts w:ascii="宋体" w:hAnsi="宋体"/>
                <w:color w:val="000000"/>
                <w:sz w:val="24"/>
              </w:rPr>
              <w:t>评奖单位：中国法学会民法学研究会、佟柔民商法发展基金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2010年：论文《名誉权救济的财产性逻辑及其理论证成》获2010年博鳌法学论坛暨第七届法官与学者对话民商法论坛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ascii="宋体" w:hAnsi="宋体"/>
                <w:color w:val="000000"/>
                <w:sz w:val="24"/>
              </w:rPr>
              <w:t>民商法学青年学者有奖征文活动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三等奖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评奖单位：中国法学会民法学研究会、中国人民大学民商事法律科学研究中心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2010年：论文《非损害赔偿侵权责任方式：制度缘起与实践启示》获广东省法学会民商法学研究会2010年学术年会暨民商法的司法适用研讨会论文一等奖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评奖单位：广东省法学会民商法学研究会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1．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2009年：论文《名誉权救济的财产性逻辑及其理论证成》获广东省法学会民商法学研究会2009年学术年会论文二等奖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评奖单位：广东省法学会民商法学研究会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2．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2009年：论文《论车位、车库所有权的权利属性及其行使规则》获广东省法学会房地产法学研究会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ascii="宋体" w:hAnsi="宋体"/>
                <w:color w:val="000000"/>
                <w:sz w:val="24"/>
              </w:rPr>
              <w:t>房地产法学理论与法律实践研讨会</w:t>
            </w:r>
            <w:r>
              <w:rPr>
                <w:rFonts w:hint="eastAsia" w:ascii="宋体" w:hAnsi="宋体"/>
                <w:color w:val="000000"/>
                <w:sz w:val="24"/>
              </w:rPr>
              <w:t>”</w:t>
            </w:r>
            <w:r>
              <w:rPr>
                <w:rFonts w:ascii="宋体" w:hAnsi="宋体"/>
                <w:color w:val="000000"/>
                <w:sz w:val="24"/>
              </w:rPr>
              <w:t>暨2009年学术年会论文一等奖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ascii="宋体" w:hAnsi="宋体"/>
                <w:color w:val="000000"/>
                <w:sz w:val="24"/>
              </w:rPr>
              <w:t>评奖单位：广东省法学会房地产法学研究会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hint="eastAsia"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新宋体" w:hAnsi="Calibri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．东亚侵权法学会（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AETL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）理事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2. 广东省法学教育研究会常务理事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3．广东省法学会民商法学研究会理事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．广东省法学会医药食品法研究会理事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．广东省法学会金融法学研究会理事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．广东省人民检察院专家咨询委员会委员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．广州市人大常委会监察和司法咨询专家</w:t>
            </w:r>
          </w:p>
          <w:p>
            <w:pPr>
              <w:tabs>
                <w:tab w:val="left" w:pos="4185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．广州市重大行政决策论证专家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hint="eastAsia" w:cs="Arial"/>
                <w:kern w:val="0"/>
                <w:sz w:val="32"/>
                <w:szCs w:val="32"/>
              </w:rPr>
            </w:pPr>
          </w:p>
        </w:tc>
      </w:tr>
    </w:tbl>
    <w:p>
      <w:pPr>
        <w:rPr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4"/>
    <w:rsid w:val="00015C08"/>
    <w:rsid w:val="00021760"/>
    <w:rsid w:val="00025E33"/>
    <w:rsid w:val="0002782A"/>
    <w:rsid w:val="000366B4"/>
    <w:rsid w:val="000436DC"/>
    <w:rsid w:val="00055B29"/>
    <w:rsid w:val="00057477"/>
    <w:rsid w:val="000660B3"/>
    <w:rsid w:val="000722C5"/>
    <w:rsid w:val="00081D77"/>
    <w:rsid w:val="00090BD6"/>
    <w:rsid w:val="000D6B7A"/>
    <w:rsid w:val="000E0D71"/>
    <w:rsid w:val="00136D15"/>
    <w:rsid w:val="001635AD"/>
    <w:rsid w:val="0016421F"/>
    <w:rsid w:val="00191FEA"/>
    <w:rsid w:val="001B5C13"/>
    <w:rsid w:val="001F2DDD"/>
    <w:rsid w:val="001F3B9C"/>
    <w:rsid w:val="00206DCA"/>
    <w:rsid w:val="00207D31"/>
    <w:rsid w:val="00210F83"/>
    <w:rsid w:val="00232F40"/>
    <w:rsid w:val="00243038"/>
    <w:rsid w:val="00275CEC"/>
    <w:rsid w:val="00277F63"/>
    <w:rsid w:val="00280433"/>
    <w:rsid w:val="00285CE8"/>
    <w:rsid w:val="002D451A"/>
    <w:rsid w:val="002D5697"/>
    <w:rsid w:val="002E6DB9"/>
    <w:rsid w:val="00307E29"/>
    <w:rsid w:val="0031054D"/>
    <w:rsid w:val="003351B9"/>
    <w:rsid w:val="00345A50"/>
    <w:rsid w:val="00361CFA"/>
    <w:rsid w:val="00370876"/>
    <w:rsid w:val="003921D9"/>
    <w:rsid w:val="003A3354"/>
    <w:rsid w:val="003B2447"/>
    <w:rsid w:val="003C4C45"/>
    <w:rsid w:val="003C7704"/>
    <w:rsid w:val="003D68C9"/>
    <w:rsid w:val="003E010E"/>
    <w:rsid w:val="003F0112"/>
    <w:rsid w:val="00400746"/>
    <w:rsid w:val="004031C0"/>
    <w:rsid w:val="00444468"/>
    <w:rsid w:val="004563A6"/>
    <w:rsid w:val="004571ED"/>
    <w:rsid w:val="00462A7F"/>
    <w:rsid w:val="00464DF4"/>
    <w:rsid w:val="004977DB"/>
    <w:rsid w:val="004A5A8C"/>
    <w:rsid w:val="004A6043"/>
    <w:rsid w:val="004B4D5A"/>
    <w:rsid w:val="004B6A89"/>
    <w:rsid w:val="004E78A5"/>
    <w:rsid w:val="00515609"/>
    <w:rsid w:val="0053568E"/>
    <w:rsid w:val="00575DE7"/>
    <w:rsid w:val="00576302"/>
    <w:rsid w:val="005916F8"/>
    <w:rsid w:val="005A1598"/>
    <w:rsid w:val="005C5D05"/>
    <w:rsid w:val="0062245B"/>
    <w:rsid w:val="006725F5"/>
    <w:rsid w:val="00677D71"/>
    <w:rsid w:val="006902E1"/>
    <w:rsid w:val="00690D34"/>
    <w:rsid w:val="006A08B8"/>
    <w:rsid w:val="006A0944"/>
    <w:rsid w:val="006A7388"/>
    <w:rsid w:val="006C4EA1"/>
    <w:rsid w:val="006C678F"/>
    <w:rsid w:val="006E60E7"/>
    <w:rsid w:val="00700256"/>
    <w:rsid w:val="00721782"/>
    <w:rsid w:val="00725AA0"/>
    <w:rsid w:val="007444E3"/>
    <w:rsid w:val="0075412B"/>
    <w:rsid w:val="007A249E"/>
    <w:rsid w:val="007D2254"/>
    <w:rsid w:val="007E250E"/>
    <w:rsid w:val="007F051C"/>
    <w:rsid w:val="008154A7"/>
    <w:rsid w:val="00816D9D"/>
    <w:rsid w:val="00822FB7"/>
    <w:rsid w:val="00830322"/>
    <w:rsid w:val="00836B39"/>
    <w:rsid w:val="008429CF"/>
    <w:rsid w:val="00851400"/>
    <w:rsid w:val="0085594A"/>
    <w:rsid w:val="008E05D5"/>
    <w:rsid w:val="008F276F"/>
    <w:rsid w:val="009069BE"/>
    <w:rsid w:val="00917F73"/>
    <w:rsid w:val="00922561"/>
    <w:rsid w:val="00926C12"/>
    <w:rsid w:val="0093273B"/>
    <w:rsid w:val="00932812"/>
    <w:rsid w:val="009406DD"/>
    <w:rsid w:val="009575B1"/>
    <w:rsid w:val="00972548"/>
    <w:rsid w:val="009A2323"/>
    <w:rsid w:val="009E4E4A"/>
    <w:rsid w:val="00A14FD5"/>
    <w:rsid w:val="00A21AF6"/>
    <w:rsid w:val="00A25A82"/>
    <w:rsid w:val="00A37DB0"/>
    <w:rsid w:val="00A90132"/>
    <w:rsid w:val="00AA276E"/>
    <w:rsid w:val="00AA57B0"/>
    <w:rsid w:val="00AE17DE"/>
    <w:rsid w:val="00B05E1B"/>
    <w:rsid w:val="00B13254"/>
    <w:rsid w:val="00B22302"/>
    <w:rsid w:val="00B33812"/>
    <w:rsid w:val="00B61EE0"/>
    <w:rsid w:val="00B86961"/>
    <w:rsid w:val="00B86BC7"/>
    <w:rsid w:val="00BA07C4"/>
    <w:rsid w:val="00BC3FB6"/>
    <w:rsid w:val="00C1334A"/>
    <w:rsid w:val="00C63700"/>
    <w:rsid w:val="00C67686"/>
    <w:rsid w:val="00C876B2"/>
    <w:rsid w:val="00CA063C"/>
    <w:rsid w:val="00CD259A"/>
    <w:rsid w:val="00CE669C"/>
    <w:rsid w:val="00CF2FAA"/>
    <w:rsid w:val="00D11884"/>
    <w:rsid w:val="00D15D8A"/>
    <w:rsid w:val="00D8758E"/>
    <w:rsid w:val="00D94D08"/>
    <w:rsid w:val="00D9503B"/>
    <w:rsid w:val="00D96A32"/>
    <w:rsid w:val="00DC417E"/>
    <w:rsid w:val="00DD0611"/>
    <w:rsid w:val="00E11AC0"/>
    <w:rsid w:val="00E14F15"/>
    <w:rsid w:val="00E15787"/>
    <w:rsid w:val="00E179D2"/>
    <w:rsid w:val="00E71077"/>
    <w:rsid w:val="00EB0896"/>
    <w:rsid w:val="00EE36BD"/>
    <w:rsid w:val="00EE45FB"/>
    <w:rsid w:val="00EF5680"/>
    <w:rsid w:val="00F01EE1"/>
    <w:rsid w:val="00F16A31"/>
    <w:rsid w:val="00F35E71"/>
    <w:rsid w:val="00F43358"/>
    <w:rsid w:val="00F5702F"/>
    <w:rsid w:val="00F7674C"/>
    <w:rsid w:val="00FD4AEB"/>
    <w:rsid w:val="00FD6ADE"/>
    <w:rsid w:val="00FD78F4"/>
    <w:rsid w:val="00FE26B0"/>
    <w:rsid w:val="6B7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iPriority w:val="0"/>
    <w:rPr>
      <w:color w:val="333333"/>
      <w:sz w:val="18"/>
      <w:szCs w:val="18"/>
      <w:u w:val="non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character" w:customStyle="1" w:styleId="13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7">
    <w:name w:val="批注主题 Char"/>
    <w:link w:val="7"/>
    <w:semiHidden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4D6C7-8C76-2542-BD35-7D288976A5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1022</Words>
  <Characters>5828</Characters>
  <Lines>48</Lines>
  <Paragraphs>13</Paragraphs>
  <TotalTime>14</TotalTime>
  <ScaleCrop>false</ScaleCrop>
  <LinksUpToDate>false</LinksUpToDate>
  <CharactersWithSpaces>6837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2019-06-27T09:28:00Z</dcterms:created>
  <dc:creator>1412-112</dc:creator>
  <cp:lastModifiedBy>Administrator</cp:lastModifiedBy>
  <cp:lastPrinted>2019-05-20T04:44:00Z</cp:lastPrinted>
  <dcterms:modified xsi:type="dcterms:W3CDTF">2019-07-23T02:38:08Z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