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tbl>
            <w:tblPr>
              <w:tblStyle w:val="3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22" w:type="dxa"/>
                </w:tcPr>
                <w:p>
                  <w:pPr>
                    <w:spacing w:line="240" w:lineRule="atLeast"/>
                    <w:jc w:val="center"/>
                    <w:rPr>
                      <w:rFonts w:hint="eastAsia" w:ascii="方正小标宋简体" w:hAnsi="方正小标宋简体" w:eastAsia="方正小标宋简体" w:cs="方正小标宋简体"/>
                      <w:b/>
                      <w:sz w:val="36"/>
                      <w:szCs w:val="36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sz w:val="36"/>
                      <w:szCs w:val="36"/>
                    </w:rPr>
                    <w:t>第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sz w:val="36"/>
                      <w:szCs w:val="36"/>
                      <w:lang w:eastAsia="zh-CN"/>
                    </w:rPr>
                    <w:t>十六届长三角法学论坛拟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/>
                      <w:sz w:val="36"/>
                      <w:szCs w:val="36"/>
                    </w:rPr>
                    <w:t>获奖论文名单</w:t>
                  </w:r>
                </w:p>
                <w:p>
                  <w:pPr>
                    <w:keepNext w:val="0"/>
                    <w:keepLines w:val="0"/>
                    <w:pageBreakBefore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outlineLvl w:val="9"/>
                    <w:rPr>
                      <w:rFonts w:hint="eastAsia" w:ascii="微软雅黑" w:hAnsi="微软雅黑" w:eastAsia="微软雅黑" w:cs="微软雅黑"/>
                      <w:b w:val="0"/>
                      <w:bCs w:val="0"/>
                      <w:sz w:val="24"/>
                      <w:szCs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8"/>
                      <w:szCs w:val="28"/>
                    </w:rPr>
                    <w:t>(共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8"/>
                      <w:szCs w:val="28"/>
                      <w:lang w:val="en-US" w:eastAsia="zh-CN"/>
                    </w:rPr>
                    <w:t>4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8"/>
                      <w:szCs w:val="28"/>
                    </w:rPr>
                    <w:t>0篇   同一等次排名不分先后)</w:t>
                  </w:r>
                </w:p>
              </w:tc>
            </w:tr>
          </w:tbl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</w:rPr>
              <w:t>一等奖（5）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国家战略视阈下的长三角区域法治一体化研究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彭辉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陈颖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上海市社会科学院法学研究所;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上海铁路运输法院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淮河水系综合治理视域下生态检察的体制完善和机制创新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葛维凯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柳家林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安徽省蚌埠市五河县人民检察院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政府间行政协议：一种长三角区域主要治理机制的选择和完善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吴伟达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浙江财经大学法学院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区域协同立法模式探究——以长三角为例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宋保振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上海对外经贸大学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我国法治化营商环境的区域差异与协调机制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韩业斌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谢晓宣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江苏省盐城师范学院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二等奖（12）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区域协同发展视域下排污权跨区交易制度供给研究——以长三角地区排污权交易为例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霍敬裕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安徽省合肥工业大学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长三角社会保障法规差异冲突及其协调对策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易  凌</w:t>
            </w:r>
          </w:p>
          <w:p>
            <w:pPr>
              <w:spacing w:line="360" w:lineRule="auto"/>
              <w:jc w:val="center"/>
              <w:rPr>
                <w:rStyle w:val="6"/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李毅飞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浙江万里学院法经济学研究中心;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color w:val="000000"/>
                <w:sz w:val="24"/>
              </w:rPr>
              <w:t>浙江宁波广播电视大学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长三角一体化背景下跨区域水污染协同治理存在的难点及解决措施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郭游游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安徽黄金律师事务所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论区域司法裁量标准化——以长三角为例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朱红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江苏省南京师范大学法学院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长三角农村合作金融的转型与升级——以江苏地区农村资金互助合作的法治化发展为视角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李霖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江苏省泰州市中级人民法院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检察机关提起环境民事公益诉讼制度之现实困境与未来展望——以长三角地区为例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苏和生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江苏省南京师范大学法学院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现代城市群区域警务合作问题研究——以宁镇扬区域为例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吴凌云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王政昱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朱晓伟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江苏省南京市警察协会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长三角区域江河湖海水环境协同治理的法治保障研究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陈真亮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浙江农林大学文法学院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公平竞争审查助力长三角一体化高质量发展——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 xml:space="preserve">构建外商投资法规政策公平竞争审查的分析  </w:t>
            </w:r>
          </w:p>
        </w:tc>
        <w:tc>
          <w:tcPr>
            <w:tcW w:w="2841" w:type="dxa"/>
          </w:tcPr>
          <w:p>
            <w:pPr>
              <w:adjustRightInd w:val="0"/>
              <w:snapToGrid w:val="0"/>
              <w:spacing w:line="360" w:lineRule="auto"/>
              <w:ind w:firstLine="240" w:firstLineChars="100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刘天姿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浙江工业大学法学院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论长三角地区水事法规之冲突与解决：基于区域协作的视角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张成春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浙江省湖州市水政监察支队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长三角区域江河湖海水环境协同治理研究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顾烨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江苏省南京市雨花台区人民检察院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论互联网时代提升长三角地区金融解纷能力的路径选择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裴长利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上海汉盛律师事务所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三等奖（23）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长三角区域“人工智能+法治”深度合作研究  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长三角清华研究院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浙江省长三角清华研究院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长三角区域经济合作法制化的实现路径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徐楠轩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浙江省中国计量大学法学院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长三角区域“人工智能+法治”深度合作研究——以大数据构建“智慧公诉”为视角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庞良文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宋洁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张大伟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安徽省淮南市人民检察院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人工智能对和谐劳动关系构建的负面效应与消解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张素凤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安徽师范大学法学院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长三角大数据交易整体框架下的个人信息保护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陈吉栋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王宇凡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上海大学法学院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我国城市群法律协作机制研究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刘露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浙江省温州市人民检察院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长江三角洲区域环境民事公益诉讼司法协作研究——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基于浙江法院168份裁判文书实证分析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方 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浙江省金华市金东区人民法院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地方政府补贴的竞争中立与公平竞争审查路径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汪永福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安徽省合肥工业大学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长三角旅游景区的地理商标保护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钱景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孟卓群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安徽师范大学法学院;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北京卓纬律师事务所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长江三角洲区域智慧法院一体化建设构想——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以民商事诉讼在线诉讼服务为研究视角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李勇强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江苏省连云港市灌云县人民法院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长三角区域司法一体化发展——以裁判标准统一为视角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刘晓惠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江苏省苏州市高新区人民法院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长三角地区一体化进程中检察协作运行机制探析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课题组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上海市青浦区人民检察院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司法裁判中的利益平衡考量：“互联网＋”框架下食品交易中各方主体利益保护之反思</w:t>
            </w:r>
          </w:p>
        </w:tc>
        <w:tc>
          <w:tcPr>
            <w:tcW w:w="2841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毛海波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梁春霞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 xml:space="preserve">上海市第一中级人民法院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长三角更高质量一体化发展法治保障论纲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陈利强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浙江工业大学法学院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检察机关深度融入长三角区域环境协同治理相关问题研究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课题组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安徽省滁州市人民检察院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长三角一体化视阈下人工智能的发展应用与法治应对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黄蒙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吴俊明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安徽师范大学法学院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长三角一体化背景下农村水污染治理与防控法治保障研究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金先艳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马清</w:t>
            </w: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安徽省滁州市中级人民法院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长三角区域生态环境保护司法协作问题与对策——以检察机关司法实践为视角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赵卿   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韩荣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江苏省徐州市人民检察院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长江三角洲区域金融一体化的法治保障研究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周蓉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耿德林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江苏省南通市通州区人民法院;</w:t>
            </w:r>
          </w:p>
          <w:p>
            <w:pPr>
              <w:spacing w:line="360" w:lineRule="auto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中国人民银行南通市中心支行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大数据驱动长三角法治一体化建设——以犯罪一体化防控体系为例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成媛媛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上海市奉贤区人民检察院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基因改造生物风险的法律规制——基于风险结构关系和社会调查的分析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王康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上海政法学院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破解长三角港航一体化中的“地方需求 vs. 垂直领导”的制度悖论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陈豪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  <w:t>浙江工业大学法学院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长三角区域一体化国家战略背景下区域司法协作的审视与完善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胡震四</w:t>
            </w:r>
          </w:p>
          <w:p>
            <w:pPr>
              <w:spacing w:line="360" w:lineRule="auto"/>
              <w:ind w:firstLine="960" w:firstLineChars="40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张恒飞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浙江省湖州市南浔区人民法院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3E"/>
    <w:rsid w:val="00BA378B"/>
    <w:rsid w:val="00E6113E"/>
    <w:rsid w:val="03CB6FDB"/>
    <w:rsid w:val="04EC3627"/>
    <w:rsid w:val="06331B88"/>
    <w:rsid w:val="06AE0F3D"/>
    <w:rsid w:val="06E66BC3"/>
    <w:rsid w:val="08A6257B"/>
    <w:rsid w:val="09CB763A"/>
    <w:rsid w:val="0DF65820"/>
    <w:rsid w:val="0EAA493F"/>
    <w:rsid w:val="0EED13CA"/>
    <w:rsid w:val="105F2DED"/>
    <w:rsid w:val="133D7390"/>
    <w:rsid w:val="14DC42BA"/>
    <w:rsid w:val="17B8393F"/>
    <w:rsid w:val="180B1655"/>
    <w:rsid w:val="19772A52"/>
    <w:rsid w:val="19801913"/>
    <w:rsid w:val="19FF627E"/>
    <w:rsid w:val="1AA71C30"/>
    <w:rsid w:val="1AE11B1D"/>
    <w:rsid w:val="1B027771"/>
    <w:rsid w:val="1BC8195D"/>
    <w:rsid w:val="1CA13579"/>
    <w:rsid w:val="1CD86C6A"/>
    <w:rsid w:val="1D407D66"/>
    <w:rsid w:val="1E4F12DE"/>
    <w:rsid w:val="1EEA3088"/>
    <w:rsid w:val="200D2B37"/>
    <w:rsid w:val="214B551C"/>
    <w:rsid w:val="21F36A11"/>
    <w:rsid w:val="23972452"/>
    <w:rsid w:val="24D7343C"/>
    <w:rsid w:val="26956564"/>
    <w:rsid w:val="271B6318"/>
    <w:rsid w:val="27841A4E"/>
    <w:rsid w:val="27CD141F"/>
    <w:rsid w:val="29066C12"/>
    <w:rsid w:val="2AA87BB6"/>
    <w:rsid w:val="2BFB30AF"/>
    <w:rsid w:val="2C1000B9"/>
    <w:rsid w:val="2C603A9D"/>
    <w:rsid w:val="2DC866C1"/>
    <w:rsid w:val="30775E61"/>
    <w:rsid w:val="307F5C3D"/>
    <w:rsid w:val="313523ED"/>
    <w:rsid w:val="31536A9A"/>
    <w:rsid w:val="332549DE"/>
    <w:rsid w:val="333E515C"/>
    <w:rsid w:val="35591DDA"/>
    <w:rsid w:val="364F1D37"/>
    <w:rsid w:val="36A956FF"/>
    <w:rsid w:val="39383619"/>
    <w:rsid w:val="3A0E554D"/>
    <w:rsid w:val="3A6132DF"/>
    <w:rsid w:val="3B3029AB"/>
    <w:rsid w:val="3C2C544B"/>
    <w:rsid w:val="3F0703BD"/>
    <w:rsid w:val="3F450063"/>
    <w:rsid w:val="3F4B71BC"/>
    <w:rsid w:val="404C7DA8"/>
    <w:rsid w:val="41477F1C"/>
    <w:rsid w:val="418B43A0"/>
    <w:rsid w:val="4191796E"/>
    <w:rsid w:val="43917DF1"/>
    <w:rsid w:val="43BA0FD3"/>
    <w:rsid w:val="44EA5FE4"/>
    <w:rsid w:val="45EC4CD5"/>
    <w:rsid w:val="45EE2173"/>
    <w:rsid w:val="47520CBF"/>
    <w:rsid w:val="4B5B537C"/>
    <w:rsid w:val="4BF71A72"/>
    <w:rsid w:val="4C053AD3"/>
    <w:rsid w:val="4CF772C9"/>
    <w:rsid w:val="4E36084C"/>
    <w:rsid w:val="502A02A7"/>
    <w:rsid w:val="527B2EE2"/>
    <w:rsid w:val="537D1B72"/>
    <w:rsid w:val="53C203FF"/>
    <w:rsid w:val="55396064"/>
    <w:rsid w:val="55412565"/>
    <w:rsid w:val="58605F30"/>
    <w:rsid w:val="592A1A4B"/>
    <w:rsid w:val="5A734B86"/>
    <w:rsid w:val="5AA30F1B"/>
    <w:rsid w:val="5E395731"/>
    <w:rsid w:val="5EA113B0"/>
    <w:rsid w:val="5ED131AC"/>
    <w:rsid w:val="5FBE6F0C"/>
    <w:rsid w:val="6062419F"/>
    <w:rsid w:val="61A206F2"/>
    <w:rsid w:val="61A62302"/>
    <w:rsid w:val="62D205FC"/>
    <w:rsid w:val="642C3951"/>
    <w:rsid w:val="670F0B05"/>
    <w:rsid w:val="673D6024"/>
    <w:rsid w:val="675B2A97"/>
    <w:rsid w:val="6A7C6F97"/>
    <w:rsid w:val="6BA957BD"/>
    <w:rsid w:val="6BC323D9"/>
    <w:rsid w:val="6DD901FC"/>
    <w:rsid w:val="6E2653AA"/>
    <w:rsid w:val="6EBA5F02"/>
    <w:rsid w:val="6EDE00CE"/>
    <w:rsid w:val="6EF87080"/>
    <w:rsid w:val="6F5462DA"/>
    <w:rsid w:val="70B721AE"/>
    <w:rsid w:val="70F9096E"/>
    <w:rsid w:val="710825D9"/>
    <w:rsid w:val="721F1C05"/>
    <w:rsid w:val="727D58B4"/>
    <w:rsid w:val="736E3405"/>
    <w:rsid w:val="73A7395A"/>
    <w:rsid w:val="73B056FC"/>
    <w:rsid w:val="73E8207C"/>
    <w:rsid w:val="74360E38"/>
    <w:rsid w:val="74495A49"/>
    <w:rsid w:val="744B6B48"/>
    <w:rsid w:val="776E435C"/>
    <w:rsid w:val="7A0C6D1F"/>
    <w:rsid w:val="7BB63AB3"/>
    <w:rsid w:val="7BD95757"/>
    <w:rsid w:val="7CED69C7"/>
    <w:rsid w:val="7D9872CB"/>
    <w:rsid w:val="7E5D70DD"/>
    <w:rsid w:val="7F096C4F"/>
    <w:rsid w:val="7F5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Char1 Char Char Char Char Char Char Char Char Char Char Char Char"/>
    <w:basedOn w:val="1"/>
    <w:qFormat/>
    <w:uiPriority w:val="0"/>
  </w:style>
  <w:style w:type="character" w:customStyle="1" w:styleId="6">
    <w:name w:val="info"/>
    <w:basedOn w:val="4"/>
    <w:qFormat/>
    <w:uiPriority w:val="0"/>
  </w:style>
  <w:style w:type="paragraph" w:customStyle="1" w:styleId="7">
    <w:name w:val="_Style 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289</Words>
  <Characters>1653</Characters>
  <Lines>13</Lines>
  <Paragraphs>3</Paragraphs>
  <TotalTime>0</TotalTime>
  <ScaleCrop>false</ScaleCrop>
  <LinksUpToDate>false</LinksUpToDate>
  <CharactersWithSpaces>1939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111</dc:creator>
  <cp:lastModifiedBy>木木</cp:lastModifiedBy>
  <dcterms:modified xsi:type="dcterms:W3CDTF">2019-10-30T06:41:14Z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